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1.2-v1.3-变更摘要"/>
    <w:p>
      <w:pPr>
        <w:pStyle w:val="Title"/>
        <w:spacing w:before="360"/>
        <w:jc w:val="center"/>
      </w:pPr>
      <w:r>
        <w:t>V1.2 → V1.3.4 变更摘要</w:t>
      </w:r>
    </w:p>
    <w:bookmarkStart w:id="20" w:name="修复的-s0s1"/>
    <w:p>
      <w:pPr>
        <w:pStyle w:val="Heading2"/>
      </w:pPr>
      <w:r>
        <w:rPr>
          <w:rFonts w:ascii="Noto Sans CJK SC" w:hAnsi="Noto Sans CJK SC" w:eastAsia="Noto Sans CJK SC"/>
        </w:rPr>
        <w:t xml:space="preserve">1. 修复的 S0/S1</w:t>
      </w:r>
    </w:p>
    <w:tbl>
      <w:tblPr>
        <w:tblW w:type="pct" w:w="500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  <w:tblCellMar>
          <w:top w:w="20" w:type="dxa"/>
          <w:bottom w:w="20" w:type="dxa"/>
          <w:left w:w="40" w:type="dxa"/>
          <w:right w:w="4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 w:val="true"/>
          <w:tblHeader w:val="true"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 xml:space="preserve">领域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 xml:space="preserve">V1.2 问题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V1.3 / V1.3.1 / V1.3.2 / V1.3.3 / V1.3.4 修复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Binance 条件止损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假设原生条件单可以直接改单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依据当前官方 Algo Service，V1.3 使用不可变驻留灾难止损；删除原单修改路径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退出竞态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原生止损、紧急退出和迟到成交没有统一所有权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sz w:val="14"/>
              </w:rPr>
              <w:t>新增 ExitCoordinator、position_instance_id / position_revision、exit_epoch、exit_owner；所有退出只经协调器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保护充分性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以“保护数量=仓位数量”判断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适配</w:t>
            </w: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closePosition=true</w:t>
            </w: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语义，检查 Algo 状态、方向、workingType、版本和强平边界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PnL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真实成交均价后可能再次扣滑点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拆分 proxy/estimated/realized；真实 PnL 不二次扣滑点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部分成交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80%固定继续持仓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改为目标可达性、储备和强平缓冲三门判断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一轮定义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单事件、单笔、单轮和17轮缺少桥梁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一轮最多一个非零成交意图；flat后按票面权益判 ROUND_SUCCESS/FAILED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事件唯一性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event_id包含strategy_version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market_episode_id独立于策略版本；消费不会因版本变化重置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历史验证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把历史后段称真正不可见测试集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改为 LOCKED_HISTORICAL_REPLAY；新增未来 FORWARD_HOLDOUT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强平风险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只写“留有缓冲”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建立 liquidation_buffer_bps 数值门和字段新鲜度要求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恢复/熔断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重启可能丢失 LOCKED 和活动退出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sz w:val="14"/>
              </w:rPr>
              <w:t>轮结果、breaker、episode消费、position_instance_id / position_revision、exit_epoch全部持久化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H3 概率口径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H3代理概率可能被误读为实盘无条件概率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改为 conditional_round_success_probability；F1才估计无条件实盘概率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仓位事实版本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position_version 同时表达生命周期和事实变化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拆为 position_instance_id 与单调 position_revision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flat 与退出竞态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零仓位确认和多退出竞态仍偏原则化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新增 FlatConfirmationProtocol 与退出所有权竞态表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重新 sizing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降仓/降杠杆后可能沿用旧目标和成本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完整重跑开仓门并生成新 intent_revision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平仓闭环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双零快照、残余订单终态和灾难止损保留条件形成循环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拆分零数量确认、残余订单清理和最终 flat；残余订单在 POSITION_FLAT 前清理并确认终态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exit epoch版本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epoch先指向旧revision、再因active epoch变化递增revision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ExitEpochBootstrapTransaction 同事务创建提交后 revision、epoch、第一腿和 client_order_id；冲突不下单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多退出订单腿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4"/>
              </w:rPr>
              <w:t>ExitIntent同时承担周期和具体订单语义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ExitLegCreationTransaction、exit_epoch_revision 乐观锁和 ActiveLocalExitLeg 主键保证顺序 fallback 与单活动腿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轮次最终结算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零仓位或成交完成可能被实现为提前结算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仅最终 POSITION_FLAT 后写 final_realized_ticket_equity 并判 ROUND_SUCCESS/FAILED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Bootstrap语义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交易所灾难事实可能复用本地提交路径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LOCAL_SUBMISSION与VENUE_OBSERVED分离；venue模式不发送订单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事务字段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两个原子事务字段初始化不完整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补齐全部必填字段、默认值、NULL和时间源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不变量/权益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INV编号重复；INV-012使用旧字段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全局唯一编号；统一final_realized_ticket_equity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闭环职责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Stage C可能继续执行清理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Stage B唯一清理，Stage C只验证并产生POSITION_FLAT</w:t>
            </w:r>
          </w:p>
        </w:tc>
      </w:tr>
      <w:tr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版式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附录之间存在明显空白分页</w:t>
            </w:r>
          </w:p>
        </w:tc>
        <w:tc>
          <w:tcPr>
            <w:tcW w:type="dxa" w:w="2640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仅调整分页属性，正文不变</w:t>
            </w:r>
          </w:p>
        </w:tc>
      </w:tr>
    </w:tbl>
    <w:bookmarkEnd w:id="20"/>
    <w:bookmarkStart w:id="21" w:name="删除的过时规则"/>
    <w:p>
      <w:pPr>
        <w:pStyle w:val="Heading2"/>
      </w:pPr>
      <w:r>
        <w:rPr>
          <w:rFonts w:ascii="Noto Sans CJK SC" w:hAnsi="Noto Sans CJK SC" w:eastAsia="Noto Sans CJK SC"/>
        </w:rPr>
        <w:t xml:space="preserve">2. 删除的过时规则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优先原生止损原单修改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及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AMEND_STOP_IDEMPOTENTLY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固定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minimum_effective_fill_ratio=80%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继续持仓。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Style w:val="VerbatimChar"/>
          <w:rFonts w:ascii="Noto Sans CJK SC" w:hAnsi="Noto Sans CJK SC" w:eastAsia="Noto Sans CJK SC"/>
        </w:rPr>
        <w:t xml:space="preserve">TARGET_FIRST</w:t>
      </w:r>
      <w:r>
        <w:rPr>
          <w:rFonts w:ascii="Noto Sans CJK SC" w:hAnsi="Noto Sans CJK SC" w:eastAsia="Noto Sans CJK SC"/>
        </w:rPr>
        <w:t xml:space="preserve">或目标触及直接等于单轮成功。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历史模式伪造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reference_ask</w:t>
      </w:r>
      <w:r>
        <w:rPr>
          <w:rFonts w:ascii="Noto Sans CJK SC" w:hAnsi="Noto Sans CJK SC" w:eastAsia="Noto Sans CJK SC"/>
        </w:rPr>
        <w:t xml:space="preserve">、真实点差、接收延迟和真实部分成交字段。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Style w:val="VerbatimChar"/>
          <w:rFonts w:ascii="Noto Sans CJK SC" w:hAnsi="Noto Sans CJK SC" w:eastAsia="Noto Sans CJK SC"/>
        </w:rPr>
        <w:t xml:space="preserve">event_id</w:t>
      </w:r>
      <w:r>
        <w:rPr>
          <w:rFonts w:ascii="Noto Sans CJK SC" w:hAnsi="Noto Sans CJK SC" w:eastAsia="Noto Sans CJK SC"/>
        </w:rPr>
        <w:t xml:space="preserve">通过strategy_version影响市场事件消费。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最终历史测试集完全不可查看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的绝对表述。</w:t>
      </w:r>
    </w:p>
    <w:p>
      <w:pPr>
        <w:pStyle w:val="Compact"/>
        <w:numPr>
          <w:ilvl w:val="0"/>
          <w:numId w:val="1001"/>
        </w:numPr>
        <w:spacing w:after="0"/>
      </w:pPr>
      <w:r>
        <w:rPr>
          <w:rFonts w:ascii="Noto Sans CJK SC" w:hAnsi="Noto Sans CJK SC" w:eastAsia="Noto Sans CJK SC"/>
        </w:rPr>
        <w:t xml:space="preserve">含义重叠的 EXPANDING 状态；EXIT_REVIEW改为纯决策函数。</w:t>
      </w:r>
    </w:p>
    <w:bookmarkEnd w:id="21"/>
    <w:bookmarkStart w:id="22" w:name="新增状态与数据契约"/>
    <w:p>
      <w:pPr>
        <w:pStyle w:val="Heading2"/>
      </w:pPr>
      <w:r>
        <w:rPr>
          <w:rFonts w:ascii="Noto Sans CJK SC" w:hAnsi="Noto Sans CJK SC" w:eastAsia="Noto Sans CJK SC"/>
        </w:rPr>
        <w:t xml:space="preserve">3. 新增状态与数据契约</w:t>
      </w:r>
    </w:p>
    <w:p>
      <w:pPr>
        <w:pStyle w:val="FirstParagraph"/>
        <w:spacing w:after="0"/>
      </w:pPr>
      <w:r>
        <w:rPr>
          <w:rFonts w:ascii="Noto Sans CJK SC" w:hAnsi="Noto Sans CJK SC" w:eastAsia="Noto Sans CJK SC"/>
        </w:rPr>
        <w:t xml:space="preserve">新增状态：</w:t>
      </w:r>
      <w:r>
        <w:rPr>
          <w:rStyle w:val="VerbatimChar"/>
          <w:rFonts w:ascii="Noto Sans CJK SC" w:hAnsi="Noto Sans CJK SC" w:eastAsia="Noto Sans CJK SC"/>
        </w:rPr>
        <w:t xml:space="preserve">BLOCKED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RECONCILING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RECOVERING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TARGET_EXIT_PENDING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BodyText"/>
        <w:spacing w:after="0"/>
      </w:pPr>
      <w:r>
        <w:rPr>
          <w:rFonts w:ascii="Noto Sans CJK SC" w:hAnsi="Noto Sans CJK SC" w:eastAsia="Noto Sans CJK SC"/>
        </w:rPr>
        <w:t xml:space="preserve">新增正式对象：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CanonicalKeyLevel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MarketEpisode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AlgoProtectionState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ExitIntent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RoundState</w:t>
      </w:r>
    </w:p>
    <w:p>
      <w:pPr>
        <w:pStyle w:val="Compact"/>
        <w:numPr>
          <w:ilvl w:val="0"/>
          <w:numId w:val="1002"/>
        </w:numPr>
        <w:spacing w:after="0"/>
      </w:pPr>
      <w:r>
        <w:rPr>
          <w:rFonts w:ascii="Noto Sans CJK SC" w:hAnsi="Noto Sans CJK SC" w:eastAsia="Noto Sans CJK SC"/>
        </w:rPr>
        <w:t xml:space="preserve">CircuitBreakerState</w:t>
      </w:r>
    </w:p>
    <w:p>
      <w:pPr>
        <w:pStyle w:val="FirstParagraph"/>
        <w:spacing w:after="0"/>
      </w:pPr>
      <w:r>
        <w:t>新增/修订关键字段：position_instance_id、position_revision、exit_epoch、exit_owner、last_confirmed_venue_qty、client_algo_id、algo_id、algo_status、working_type、cost_scenario_id、data_evidence_level、intent_revision、sizing_snapshot_id、reconcile_phase、exit_epoch_revision、exit_order_leg_id、leg_sequence。</w:t>
      </w:r>
    </w:p>
    <w:bookmarkEnd w:id="22"/>
    <w:bookmarkStart w:id="23" w:name="仍属于-researchf1-的问题"/>
    <w:p>
      <w:pPr>
        <w:pStyle w:val="Heading2"/>
      </w:pPr>
      <w:r>
        <w:t>4. V1.3.1 六项验收修复</w:t>
      </w:r>
    </w:p>
    <w:p>
      <w:pPr>
        <w:pStyle w:val="Compact"/>
        <w:spacing w:after="0"/>
      </w:pPr>
      <w:r>
        <w:t>H3 单轮结果统一为 conditional_round_success_probability；F1 才允许估计无条件实盘概率。</w:t>
      </w:r>
    </w:p>
    <w:p>
      <w:pPr>
        <w:pStyle w:val="Compact"/>
        <w:spacing w:after="0"/>
      </w:pPr>
      <w:r>
        <w:t>position_version 拆分为 position_instance_id 与单调 position_revision。</w:t>
      </w:r>
    </w:p>
    <w:p>
      <w:pPr>
        <w:pStyle w:val="Compact"/>
        <w:spacing w:after="0"/>
      </w:pPr>
      <w:r>
        <w:t>新增 FlatConfirmationProtocol，零仓位确认包含事实时序、快照年龄、订单 UNKNOWN 和新成交失效条件。</w:t>
      </w:r>
    </w:p>
    <w:p>
      <w:pPr>
        <w:pStyle w:val="Compact"/>
        <w:spacing w:after="0"/>
      </w:pPr>
      <w:r>
        <w:t>新增退出所有权与竞态表；灾难止损、主动退出和紧急退出共享同一实例退出会计周期，禁止第三退出。</w:t>
      </w:r>
    </w:p>
    <w:p>
      <w:pPr>
        <w:pStyle w:val="Compact"/>
        <w:spacing w:after="0"/>
      </w:pPr>
      <w:r>
        <w:t>新增 ReSizingRevalidationPipeline；降仓或降杠杆后完整重跑全部开仓门并生成新 intent_revision。</w:t>
      </w:r>
    </w:p>
    <w:p>
      <w:pPr>
        <w:pStyle w:val="Compact"/>
        <w:spacing w:after="0"/>
      </w:pPr>
      <w:r>
        <w:t>两份附件页脚重建为单一自动 PAGE 字段。</w:t>
      </w:r>
    </w:p>
    <w:p>
      <w:pPr>
        <w:pStyle w:val="Heading1"/>
      </w:pPr>
      <w:r>
        <w:t>5. V1.3.2 三项微型闭环补丁</w:t>
      </w:r>
    </w:p>
    <w:p>
      <w:pPr>
        <w:pStyle w:val="Compact"/>
        <w:spacing w:after="0"/>
      </w:pPr>
      <w:r>
        <w:t>平仓闭环拆为 POSITION_QTY_ZERO_CONFIRMED、RESIDUAL_ORDER_CLEANUP 和最终 POSITION_FLAT；灾难止损在零数量确认后进入清理，不再形成状态死锁。</w:t>
      </w:r>
    </w:p>
    <w:p>
      <w:pPr>
        <w:pStyle w:val="Compact"/>
        <w:spacing w:after="0"/>
      </w:pPr>
      <w:r>
        <w:t>新增 ExitEpochCreationTransaction：active_exit_epoch 与 position_revision 在同一事务原子提交，事务失败或 revision 冲突时不得下单。</w:t>
      </w:r>
    </w:p>
    <w:p>
      <w:pPr>
        <w:pStyle w:val="Compact"/>
        <w:spacing w:after="0"/>
      </w:pPr>
      <w:r>
        <w:t>新增 ExitOrderLeg：LIMIT IOC、MARKET 回退、灾难止损和恢复退出归属同一 exit_epoch；同时最多一个本地主动非终态腿，全部成交统一聚合会计。</w:t>
      </w:r>
    </w:p>
    <w:p>
      <w:pPr>
        <w:pStyle w:val="Compact"/>
        <w:spacing w:after="0"/>
      </w:pPr>
      <w:r>
        <w:t>6. V1.3.4 五项最终定稿</w:t>
      </w:r>
    </w:p>
    <w:p>
      <w:pPr>
        <w:pStyle w:val="Compact"/>
        <w:spacing w:after="0"/>
      </w:pPr>
      <w:r>
        <w:t>区分 LOCAL_SUBMISSION 与 VENUE_OBSERVED：本地提交先落库再发送；交易所既有灾难事实只接管、归属和对账，不重复提交。</w:t>
      </w:r>
    </w:p>
    <w:p>
      <w:pPr>
        <w:pStyle w:val="Compact"/>
        <w:spacing w:after="0"/>
      </w:pPr>
      <w:r>
        <w:t>补齐 ExitEpochBootstrapTransaction 与 ExitLegCreationTransaction 全部必填字段、NULL/0和时间源规则。</w:t>
      </w:r>
    </w:p>
    <w:p>
      <w:pPr>
        <w:pStyle w:val="Compact"/>
        <w:spacing w:after="0"/>
      </w:pPr>
      <w:r>
        <w:t>修复重复 INV 编号，INV-012 统一使用 final_realized_ticket_equity。</w:t>
      </w:r>
    </w:p>
    <w:p>
      <w:pPr>
        <w:pStyle w:val="Compact"/>
        <w:spacing w:after="0"/>
      </w:pPr>
      <w:r>
        <w:t>Stage B 唯一执行残余清理；Stage C 只验证并产生 POSITION_FLAT。</w:t>
      </w:r>
    </w:p>
    <w:p>
      <w:pPr>
        <w:pStyle w:val="Compact"/>
        <w:spacing w:after="0"/>
      </w:pPr>
      <w:r>
        <w:t>仅调整目标附录分页属性，压缩明显空白页，不改变正文规则。</w:t>
      </w:r>
    </w:p>
    <w:p>
      <w:pPr>
        <w:pStyle w:val="Heading2"/>
      </w:pPr>
      <w:r>
        <w:t>7. 仍属于 RESEARCH/F1 的问题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key level归一化参数、re-arm时间和事件最大目标空间。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15-35bp止损、+20%激活、5/8/15/25分钟规则。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H3成本与延迟主情景数值。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MARK_PRICE与CONTRACT_PRICE灾难触发的最终选择。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正常退出IOC到MARKET回退的真实分布。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强平缓冲中的尾部滑点和Mark/Contract偏离参数。</w:t>
      </w:r>
    </w:p>
    <w:p>
      <w:pPr>
        <w:pStyle w:val="Compact"/>
        <w:numPr>
          <w:ilvl w:val="0"/>
          <w:numId w:val="1003"/>
        </w:numPr>
        <w:spacing w:after="0"/>
      </w:pPr>
      <w:r>
        <w:rPr>
          <w:rFonts w:ascii="Noto Sans CJK SC" w:hAnsi="Noto Sans CJK SC" w:eastAsia="Noto Sans CJK SC"/>
        </w:rPr>
        <w:t xml:space="preserve">Nautilus当前Binance适配是否完整覆盖Algo Service；由Execution Spike决定。</w:t>
      </w:r>
    </w:p>
    <w:bookmarkEnd w:id="23"/>
    <w:bookmarkStart w:id="24" w:name="当前阶段许可"/>
    <w:p>
      <w:pPr>
        <w:pStyle w:val="Heading2"/>
      </w:pPr>
      <w:r>
        <w:t>8. 当前阶段许可</w:t>
      </w:r>
    </w:p>
    <w:tbl>
      <w:tblPr>
        <w:tblW w:type="auto" w:w="0"/>
        <w:tblLayout w:type="autofit"/>
        <w:tblLook w:firstRow="1" w:lastRow="0" w:firstColumn="0" w:lastColumn="0" w:noHBand="0" w:noVBand="0" w:val="0020"/>
        <w:jc w:val="center"/>
        <w:tblBorders>
          <w:top w:val="single" w:sz="4" w:space="0" w:color="B7C9DB"/>
          <w:left w:val="single" w:sz="4" w:space="0" w:color="B7C9DB"/>
          <w:bottom w:val="single" w:sz="4" w:space="0" w:color="B7C9DB"/>
          <w:right w:val="single" w:sz="4" w:space="0" w:color="B7C9DB"/>
          <w:insideH w:val="single" w:sz="4" w:space="0" w:color="B7C9DB"/>
          <w:insideV w:val="single" w:sz="4" w:space="0" w:color="B7C9DB"/>
        </w:tblBorders>
        <w:tblCellMar>
          <w:top w:w="20" w:type="dxa"/>
          <w:bottom w:w="20" w:type="dxa"/>
          <w:left w:w="40" w:type="dxa"/>
          <w:right w:w="40" w:type="dxa"/>
        </w:tblCellMar>
      </w:tblPr>
      <w:tblGrid>
        <w:gridCol w:w="3960"/>
        <w:gridCol w:w="3960"/>
      </w:tblGrid>
      <w:tr>
        <w:trPr>
          <w:tblHeader w:val="on"/>
          <w:tblHeader w:val="true"/>
          <w:tblHeader w:val="true"/>
        </w:trP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 xml:space="preserve">阶段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 xml:space="preserve">结论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数据审计、Trades补齐、事件研究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GO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H1/H2/H3实现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spacing w:after="0" w:line="216" w:lineRule="auto" w:before="0"/>
            </w:pPr>
            <w:r>
              <w:rPr>
                <w:sz w:val="15"/>
              </w:rPr>
              <w:t>CONDITIONAL GO，必须使用V1.3.4口径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Binance Execution Capability Spike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GO，仅验证接口与状态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前向影子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CONDITIONAL GO，Spike通过后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测试网自动策略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NO-GO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极小资金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  <w:shd w:fill="F3F5F7"/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NO-GO</w:t>
            </w:r>
          </w:p>
        </w:tc>
      </w:tr>
      <w:tr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10 USDT单轮与复利</w:t>
            </w:r>
          </w:p>
        </w:tc>
        <w:tc>
          <w:tcPr>
            <w:vAlign w:val="center"/>
            <w:tcMar>
              <w:top w:w="50" w:type="dxa"/>
              <w:start w:w="70" w:type="dxa"/>
              <w:bottom w:w="70" w:type="dxa"/>
              <w:end w:w="70" w:type="dxa"/>
            </w:tcMar>
          </w:tcPr>
          <w:p>
            <w:pPr>
              <w:pStyle w:val="Compact"/>
              <w:spacing w:after="0" w:before="0" w:line="21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4"/>
              </w:rPr>
              <w:t xml:space="preserve">NO-GO</w:t>
            </w:r>
          </w:p>
        </w:tc>
      </w:tr>
    </w:tbl>
    <w:p>
      <w:pPr>
        <w:pStyle w:val="BodyText"/>
        <w:spacing w:after="0"/>
      </w:pPr>
      <w:r>
        <w:t>V1.3.4 的工程成熟度保持为：可交给 Codex 分阶段实现研究基础、状态核心和 Execution Spike；任何进入真实资金的阶段仍需人工阶段签字和 F1 证据。</w:t>
      </w:r>
    </w:p>
    <w:bookmarkEnd w:id="24"/>
    <w:bookmarkEnd w:id="25"/>
    <w:sectPr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648" w:bottom="648" w:left="935" w:right="935" w:header="340" w:footer="3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V1.3.4 变更摘要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228" w:lineRule="auto"/>
    </w:pPr>
    <w:rPr>
      <w:rFonts w:ascii="Noto Sans CJK SC" w:hAnsi="Noto Sans CJK SC" w:eastAsia="Noto Sans CJK SC"/>
      <w:sz w:val="15"/>
    </w:rPr>
  </w:style>
  <w:style w:styleId="BodyText" w:type="paragraph">
    <w:name w:val="Body Text"/>
    <w:basedOn w:val="Normal"/>
    <w:link w:val="BodyTextChar"/>
    <w:qFormat/>
    <w:pPr>
      <w:spacing w:after="0" w:before="80" w:line="228" w:lineRule="auto"/>
    </w:pPr>
    <w:rPr>
      <w:sz w:val="15"/>
    </w:rPr>
  </w:style>
  <w:style w:customStyle="1" w:styleId="FirstParagraph" w:type="paragraph">
    <w:name w:val="First Paragraph"/>
    <w:basedOn w:val="BodyText"/>
    <w:next w:val="BodyText"/>
    <w:qFormat/>
    <w:pPr>
      <w:spacing w:after="0" w:line="228" w:lineRule="auto"/>
    </w:pPr>
    <w:rPr>
      <w:sz w:val="15"/>
    </w:rPr>
  </w:style>
  <w:style w:customStyle="1" w:styleId="Compact" w:type="paragraph">
    <w:name w:val="Compact"/>
    <w:basedOn w:val="BodyText"/>
    <w:qFormat/>
    <w:pPr>
      <w:spacing w:after="0" w:before="10" w:line="228" w:lineRule="auto"/>
    </w:pPr>
    <w:rPr>
      <w:sz w:val="15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736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Noto Sans CJK SC" w:hAnsi="Noto Sans CJK SC" w:eastAsia="Noto Sans CJK SC"/>
      <w:b/>
      <w:color w:val="1F4E78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0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 w:line="240" w:lineRule="auto"/>
      <w:ind w:left="142" w:right="85"/>
      <w:shd w:fill="F2F4F7"/>
      <w:pBdr>
        <w:left w:val="single" w:sz="16" w:space="4" w:color="1F4E78"/>
      </w:pBdr>
      <w:shd w:fill="F2F4F7"/>
      <w:pBdr>
        <w:left w:val="single" w:sz="16" w:space="4" w:color="1F4E78"/>
      </w:pBdr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V1.3.1 变更摘要</dc:title>
  <dc:creator>Muce / OpenAI</dc:creator>
  <cp:keywords/>
  <dcterms:created xsi:type="dcterms:W3CDTF">2026-07-11T09:31:34Z</dcterms:created>
  <dcterms:modified xsi:type="dcterms:W3CDTF">2026-07-11T09:31:34Z</dcterms:modified>
  <dc:subject>100x高确认赌博交易系统 V1.3</dc:subject>
  <dc:description>由V1.2与敌对式逻辑审计报告整合修订。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