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Times" w:hAnsi="Times" w:cs="Times"/>
          <w:sz w:val="32"/>
          <w:sz-cs w:val="32"/>
          <w:spacing w:val="0"/>
        </w:rPr>
        <w:t xml:space="preserve">Our analysis of the Chinook digital media store reveals key insights into genre performance, regional spending, and employee effectiveness, offering actionable opportunities to enhance sales.</w:t>
      </w:r>
    </w:p>
    <w:p>
      <w:pPr>
        <w:spacing w:after="240"/>
      </w:pPr>
      <w:r>
        <w:rPr>
          <w:rFonts w:ascii="Times" w:hAnsi="Times" w:cs="Times"/>
          <w:sz w:val="32"/>
          <w:sz-cs w:val="32"/>
          <w:spacing w:val="0"/>
        </w:rPr>
        <w:t xml:space="preserve">Genre Performance: Rock music dominates sales with $827, outpacing the combined total of Latin ($382) and Metal ($261). As Rock generates the highest revenue, consider expanding the Rock catalog, offering exclusive content, or running targeted promotions to further capitalize on this genre’s popularity. However, don't overlook Latin and Metal—these genres still hold substantial value. </w:t>
      </w:r>
    </w:p>
    <w:p>
      <w:pPr>
        <w:spacing w:after="240"/>
      </w:pPr>
      <w:r>
        <w:rPr>
          <w:rFonts w:ascii="Times" w:hAnsi="Times" w:cs="Times"/>
          <w:sz w:val="32"/>
          <w:sz-cs w:val="32"/>
          <w:spacing w:val="0"/>
        </w:rPr>
        <w:t xml:space="preserve">Regional Insights: Customers in Chile, Hungary, Ireland, the Czech Republic, and Austria lead in average spending, with each invoice exceeding $6, compared to lower averages in other regions. To maximize revenue, tailor regional promotions and create localized campaigns that resonate with these high-spending markets. </w:t>
      </w:r>
    </w:p>
    <w:p>
      <w:pPr>
        <w:spacing w:after="240"/>
      </w:pPr>
      <w:r>
        <w:rPr>
          <w:rFonts w:ascii="Times" w:hAnsi="Times" w:cs="Times"/>
          <w:sz w:val="32"/>
          <w:sz-cs w:val="32"/>
          <w:spacing w:val="0"/>
        </w:rPr>
        <w:t xml:space="preserve">Customer Insights: The top 3 valued customers spent over $46 each, nearly seven times the global invoice average. This indicates the potential of a loyalty program aimed at retaining and rewarding high-value customers. </w:t>
      </w:r>
    </w:p>
    <w:p>
      <w:pPr>
        <w:spacing w:after="240"/>
      </w:pPr>
      <w:r>
        <w:rPr>
          <w:rFonts w:ascii="Times" w:hAnsi="Times" w:cs="Times"/>
          <w:sz w:val="32"/>
          <w:sz-cs w:val="32"/>
          <w:spacing w:val="0"/>
        </w:rPr>
        <w:t xml:space="preserve">Employee Performance: Jane Peacock, Margaret Park, and Steve Johnson are the top-performing employees, with sales totals of $833, $775, and $720, respectively. Recognize and reward their achievements, perhaps through a sales incentive program, to motivate continued excellence. </w:t>
      </w:r>
      <w:r>
        <w:rPr>
          <w:rFonts w:ascii="Times" w:hAnsi="Times" w:cs="Times"/>
          <w:sz w:val="24"/>
          <w:sz-cs w:val="24"/>
          <w:spacing w:val="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