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818B" w14:textId="77777777" w:rsidR="007039C5" w:rsidRDefault="007039C5" w:rsidP="007039C5">
      <w:r w:rsidRPr="007039C5">
        <w:t>The logistic regression model achieved an accuracy of 86.7% and a ROC-AUC of 0.8552, reflecting strong predictive performance. The confusion matrix shows:</w:t>
      </w:r>
    </w:p>
    <w:p w14:paraId="01CFC868" w14:textId="77777777" w:rsidR="007039C5" w:rsidRPr="007039C5" w:rsidRDefault="007039C5" w:rsidP="007039C5"/>
    <w:p w14:paraId="0BFA67D1" w14:textId="3A8544A4" w:rsidR="007039C5" w:rsidRPr="007039C5" w:rsidRDefault="007039C5" w:rsidP="007039C5">
      <w:r w:rsidRPr="007039C5">
        <w:t>True Negatives (Not Above Avg predicted correctly): 1659</w:t>
      </w:r>
    </w:p>
    <w:p w14:paraId="238BF96D" w14:textId="4FD85D6F" w:rsidR="007039C5" w:rsidRPr="007039C5" w:rsidRDefault="007039C5" w:rsidP="007039C5">
      <w:r w:rsidRPr="007039C5">
        <w:t>False Positives (Not Above Avg misclassified as Above Avg): 229</w:t>
      </w:r>
    </w:p>
    <w:p w14:paraId="4C933AB8" w14:textId="2AAD27B0" w:rsidR="007039C5" w:rsidRPr="007039C5" w:rsidRDefault="007039C5" w:rsidP="007039C5">
      <w:r w:rsidRPr="007039C5">
        <w:t>False Negatives (Above Avg misclassified as Not Above Avg): 106</w:t>
      </w:r>
    </w:p>
    <w:p w14:paraId="47407850" w14:textId="77777777" w:rsidR="007039C5" w:rsidRDefault="007039C5" w:rsidP="007039C5">
      <w:r w:rsidRPr="007039C5">
        <w:t>True Positives (Above Avg predicted correctly): 524</w:t>
      </w:r>
    </w:p>
    <w:p w14:paraId="14F0F79E" w14:textId="77777777" w:rsidR="007039C5" w:rsidRPr="007039C5" w:rsidRDefault="007039C5" w:rsidP="007039C5"/>
    <w:p w14:paraId="0F547C3E" w14:textId="77777777" w:rsidR="007039C5" w:rsidRPr="007039C5" w:rsidRDefault="007039C5" w:rsidP="007039C5">
      <w:r w:rsidRPr="007039C5">
        <w:t>This means the model is especially strong at correctly identifying products that are not expected to achieve above-average revenue, with a small number of misclassifications in both directions.</w:t>
      </w:r>
    </w:p>
    <w:p w14:paraId="372F0E92" w14:textId="77777777" w:rsidR="007039C5" w:rsidRPr="007039C5" w:rsidRDefault="007039C5" w:rsidP="007039C5">
      <w:r w:rsidRPr="007039C5">
        <w:t>The high True Positive Rate and low False Positive Rate on the ROC curve affirm the model’s utility. It can serve as a valuable decision-support tool, enabling businesses to focus resources on high-potential products and reevaluate those likely to underperform. However, periodic retraining and feature evaluation will be key to sustaining accuracy over time.</w:t>
      </w:r>
    </w:p>
    <w:p w14:paraId="097F2315" w14:textId="77777777" w:rsidR="00055BAC" w:rsidRDefault="00055BAC"/>
    <w:sectPr w:rsidR="00055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AC"/>
    <w:rsid w:val="00055BAC"/>
    <w:rsid w:val="007039C5"/>
    <w:rsid w:val="00A0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3F02"/>
  <w15:chartTrackingRefBased/>
  <w15:docId w15:val="{C2E3DED0-427F-4082-B45C-169B5699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8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2025-04-18T13:31:00Z</dcterms:created>
  <dcterms:modified xsi:type="dcterms:W3CDTF">2025-04-18T13:32:00Z</dcterms:modified>
</cp:coreProperties>
</file>