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417D" w14:textId="4DFF0D08" w:rsidR="00E37728" w:rsidRDefault="00E37728" w:rsidP="00E37728">
      <w:pPr>
        <w:spacing w:after="0"/>
        <w:rPr>
          <w:sz w:val="24"/>
          <w:szCs w:val="24"/>
        </w:rPr>
      </w:pPr>
    </w:p>
    <w:p w14:paraId="4CA3CEBC" w14:textId="433EF28A" w:rsidR="003B2D91" w:rsidRDefault="003B2D91" w:rsidP="00E37728">
      <w:pPr>
        <w:spacing w:after="0"/>
        <w:rPr>
          <w:sz w:val="24"/>
          <w:szCs w:val="24"/>
        </w:rPr>
      </w:pPr>
    </w:p>
    <w:p w14:paraId="60EB75B7" w14:textId="6BCC04E7" w:rsidR="003B2D91" w:rsidRPr="003B2D91" w:rsidRDefault="003B2D91" w:rsidP="003B2D91">
      <w:pPr>
        <w:rPr>
          <w:b/>
          <w:bCs/>
          <w:sz w:val="28"/>
          <w:szCs w:val="28"/>
        </w:rPr>
      </w:pPr>
      <w:r>
        <w:rPr>
          <w:rFonts w:ascii="Poppins" w:hAnsi="Poppins" w:cs="Poppins"/>
          <w:b/>
          <w:bCs/>
          <w:color w:val="D23E3E"/>
          <w:sz w:val="30"/>
          <w:szCs w:val="30"/>
        </w:rPr>
        <w:t>SAAGROEG TRADING GROUP</w:t>
      </w:r>
      <w:r>
        <w:rPr>
          <w:b/>
          <w:bCs/>
          <w:sz w:val="28"/>
          <w:szCs w:val="28"/>
        </w:rPr>
        <w:t xml:space="preserve"> </w:t>
      </w:r>
      <w:r w:rsidRPr="003B2D91">
        <w:rPr>
          <w:sz w:val="24"/>
          <w:szCs w:val="24"/>
        </w:rPr>
        <w:t>("we," "us," or "our") is committed to maintaining regulatory compliance in the delivery of our financial consulting services. This page outlines our adherence to key regulations governing our operations in the New York and Johannesburg stock exchanges.</w:t>
      </w:r>
    </w:p>
    <w:p w14:paraId="59AADB75" w14:textId="77777777" w:rsidR="00E37728" w:rsidRPr="00E37728" w:rsidRDefault="00E37728" w:rsidP="00E37728">
      <w:pPr>
        <w:spacing w:after="0"/>
        <w:rPr>
          <w:sz w:val="24"/>
          <w:szCs w:val="24"/>
        </w:rPr>
      </w:pPr>
    </w:p>
    <w:p w14:paraId="2C2B6E41" w14:textId="7F302388" w:rsidR="00E37728" w:rsidRPr="00E37728" w:rsidRDefault="003B2D91" w:rsidP="00D64EFE">
      <w:pPr>
        <w:rPr>
          <w:b/>
          <w:bCs/>
          <w:sz w:val="28"/>
          <w:szCs w:val="28"/>
        </w:rPr>
      </w:pPr>
      <w:r>
        <w:rPr>
          <w:rFonts w:ascii="Poppins" w:hAnsi="Poppins" w:cs="Poppins"/>
          <w:b/>
          <w:bCs/>
          <w:color w:val="D23E3E"/>
          <w:sz w:val="30"/>
          <w:szCs w:val="30"/>
        </w:rPr>
        <w:t>LICENSING AND REGUALTION</w:t>
      </w:r>
    </w:p>
    <w:p w14:paraId="6A09C53A" w14:textId="335ECD33" w:rsidR="00D64EFE" w:rsidRDefault="00AE264A" w:rsidP="00D64EFE">
      <w:pPr>
        <w:rPr>
          <w:sz w:val="24"/>
          <w:szCs w:val="24"/>
        </w:rPr>
      </w:pPr>
      <w:r w:rsidRPr="00AE264A">
        <w:rPr>
          <w:sz w:val="24"/>
          <w:szCs w:val="24"/>
        </w:rPr>
        <w:t>We are committed to adhering to all licensing and registration requirements imposed by regulatory authorities in New York and Johannesburg. Our services may require registration with relevant regulatory bodies, and we ensure that all such requirements are met.</w:t>
      </w:r>
    </w:p>
    <w:p w14:paraId="56F2DE7D" w14:textId="77777777" w:rsidR="00AE264A" w:rsidRPr="00E37728" w:rsidRDefault="00AE264A" w:rsidP="00D64EFE">
      <w:pPr>
        <w:rPr>
          <w:sz w:val="24"/>
          <w:szCs w:val="24"/>
        </w:rPr>
      </w:pPr>
    </w:p>
    <w:p w14:paraId="26E5A786" w14:textId="25123B17" w:rsidR="00AE264A" w:rsidRDefault="00AE264A" w:rsidP="00AE264A">
      <w:pPr>
        <w:rPr>
          <w:rFonts w:ascii="Poppins" w:hAnsi="Poppins" w:cs="Poppins"/>
          <w:b/>
          <w:bCs/>
          <w:color w:val="D23E3E"/>
          <w:sz w:val="30"/>
          <w:szCs w:val="30"/>
        </w:rPr>
      </w:pPr>
      <w:r w:rsidRPr="00AE264A">
        <w:rPr>
          <w:rFonts w:ascii="Poppins" w:hAnsi="Poppins" w:cs="Poppins"/>
          <w:b/>
          <w:bCs/>
          <w:color w:val="D23E3E"/>
          <w:sz w:val="30"/>
          <w:szCs w:val="30"/>
        </w:rPr>
        <w:t>ANTI-MONEY LAUNDERING (AML) AND KNOW YOUR CUSTOMER (KYC) COMPLIANCE</w:t>
      </w:r>
    </w:p>
    <w:p w14:paraId="3556827F" w14:textId="674D12E2" w:rsidR="00D64EFE" w:rsidRDefault="001C6250" w:rsidP="00D64EFE">
      <w:pPr>
        <w:rPr>
          <w:sz w:val="24"/>
          <w:szCs w:val="24"/>
        </w:rPr>
      </w:pPr>
      <w:r w:rsidRPr="001C6250">
        <w:rPr>
          <w:sz w:val="24"/>
          <w:szCs w:val="24"/>
        </w:rPr>
        <w:t>In accordance with applicable AML and KYC regulations, we have implemented policies and procedures to verify the identity of our clients, report suspicious transactions, and prevent money laundering and terrorist financing activities.</w:t>
      </w:r>
    </w:p>
    <w:p w14:paraId="12DA48E9" w14:textId="77777777" w:rsidR="001C6250" w:rsidRPr="00E37728" w:rsidRDefault="001C6250" w:rsidP="00D64EFE">
      <w:pPr>
        <w:rPr>
          <w:sz w:val="24"/>
          <w:szCs w:val="24"/>
        </w:rPr>
      </w:pPr>
    </w:p>
    <w:p w14:paraId="2BA22E3C" w14:textId="74571093"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PRIVACY AND DATA PROTECTION</w:t>
      </w:r>
    </w:p>
    <w:p w14:paraId="0B122CFB" w14:textId="56119B54" w:rsidR="00D64EFE" w:rsidRDefault="00CA707E" w:rsidP="00D64EFE">
      <w:pPr>
        <w:rPr>
          <w:sz w:val="24"/>
          <w:szCs w:val="24"/>
        </w:rPr>
      </w:pPr>
      <w:r w:rsidRPr="00CA707E">
        <w:rPr>
          <w:sz w:val="24"/>
          <w:szCs w:val="24"/>
        </w:rPr>
        <w:t>We adhere to all data protection laws and regulations, including but not limited to the General Data Protection Regulation (GDPR) and the California Consumer Privacy Act (CCPA). For detailed information about our data protection practices, please refer to our Privacy Policy.</w:t>
      </w:r>
    </w:p>
    <w:p w14:paraId="7C80D561" w14:textId="77777777" w:rsidR="00CA707E" w:rsidRPr="00E37728" w:rsidRDefault="00CA707E" w:rsidP="00D64EFE">
      <w:pPr>
        <w:rPr>
          <w:sz w:val="24"/>
          <w:szCs w:val="24"/>
        </w:rPr>
      </w:pPr>
    </w:p>
    <w:p w14:paraId="01552B13" w14:textId="360B09F9"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INVESTMENT ADVISER COMPLIANCE</w:t>
      </w:r>
    </w:p>
    <w:p w14:paraId="67086B90" w14:textId="2879E319" w:rsidR="00E77C11" w:rsidRPr="00C114A9" w:rsidRDefault="00CA707E" w:rsidP="00D64EFE">
      <w:pPr>
        <w:rPr>
          <w:sz w:val="24"/>
          <w:szCs w:val="24"/>
        </w:rPr>
      </w:pPr>
      <w:r w:rsidRPr="00CA707E">
        <w:rPr>
          <w:sz w:val="24"/>
          <w:szCs w:val="24"/>
        </w:rPr>
        <w:t>In providing investment advice, we operate in compliance with all relevant regulations governing investment advisers. Our commitment is to act in the best interests of our clients and provide investment recommendations in a fiduciary capacity when applicable.</w:t>
      </w:r>
    </w:p>
    <w:p w14:paraId="06AA5293" w14:textId="77777777" w:rsidR="00C114A9" w:rsidRDefault="00C114A9" w:rsidP="00D64EFE">
      <w:pPr>
        <w:rPr>
          <w:rFonts w:ascii="Poppins" w:hAnsi="Poppins" w:cs="Poppins"/>
          <w:b/>
          <w:bCs/>
          <w:color w:val="D23E3E"/>
          <w:sz w:val="30"/>
          <w:szCs w:val="30"/>
        </w:rPr>
      </w:pPr>
    </w:p>
    <w:p w14:paraId="4910C1DD" w14:textId="77777777" w:rsidR="00C114A9" w:rsidRDefault="00C114A9" w:rsidP="00D64EFE">
      <w:pPr>
        <w:rPr>
          <w:rFonts w:ascii="Poppins" w:hAnsi="Poppins" w:cs="Poppins"/>
          <w:b/>
          <w:bCs/>
          <w:color w:val="D23E3E"/>
          <w:sz w:val="30"/>
          <w:szCs w:val="30"/>
        </w:rPr>
      </w:pPr>
    </w:p>
    <w:p w14:paraId="09D75730" w14:textId="77777777" w:rsidR="00C114A9" w:rsidRDefault="00C114A9" w:rsidP="00D64EFE">
      <w:pPr>
        <w:rPr>
          <w:rFonts w:ascii="Poppins" w:hAnsi="Poppins" w:cs="Poppins"/>
          <w:b/>
          <w:bCs/>
          <w:color w:val="D23E3E"/>
          <w:sz w:val="30"/>
          <w:szCs w:val="30"/>
        </w:rPr>
      </w:pPr>
    </w:p>
    <w:p w14:paraId="6B68D1F0" w14:textId="77777777" w:rsidR="009A717E" w:rsidRDefault="009A717E" w:rsidP="00D64EFE">
      <w:pPr>
        <w:rPr>
          <w:rFonts w:ascii="Poppins" w:hAnsi="Poppins" w:cs="Poppins"/>
          <w:b/>
          <w:bCs/>
          <w:color w:val="D23E3E"/>
          <w:sz w:val="30"/>
          <w:szCs w:val="30"/>
        </w:rPr>
      </w:pPr>
    </w:p>
    <w:p w14:paraId="2A7CACAB" w14:textId="59B0B6FC"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CONFLICTS OF INTEREST</w:t>
      </w:r>
    </w:p>
    <w:p w14:paraId="7C21D118" w14:textId="1FE5B0BA" w:rsidR="00D64EFE" w:rsidRDefault="00E77C11" w:rsidP="00D64EFE">
      <w:pPr>
        <w:rPr>
          <w:sz w:val="24"/>
          <w:szCs w:val="24"/>
        </w:rPr>
      </w:pPr>
      <w:r w:rsidRPr="00E77C11">
        <w:rPr>
          <w:sz w:val="24"/>
          <w:szCs w:val="24"/>
        </w:rPr>
        <w:t>We have established procedures to identify and manage potential conflicts of interest within our organization to ensure the fair and transparent provision of financial information and investment opportunities to our clients.</w:t>
      </w:r>
    </w:p>
    <w:p w14:paraId="49B994E1" w14:textId="77777777" w:rsidR="00E77C11" w:rsidRPr="00E37728" w:rsidRDefault="00E77C11" w:rsidP="00D64EFE">
      <w:pPr>
        <w:rPr>
          <w:sz w:val="24"/>
          <w:szCs w:val="24"/>
        </w:rPr>
      </w:pPr>
    </w:p>
    <w:p w14:paraId="1AAAAEEF" w14:textId="4409CFAC"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DISCLOSURE AND TRANSPARENCY</w:t>
      </w:r>
    </w:p>
    <w:p w14:paraId="6D8DCC16" w14:textId="5FC2101C" w:rsidR="00E77C11" w:rsidRDefault="00E77C11" w:rsidP="00D64EFE">
      <w:pPr>
        <w:rPr>
          <w:sz w:val="24"/>
          <w:szCs w:val="24"/>
        </w:rPr>
      </w:pPr>
      <w:r w:rsidRPr="00E77C11">
        <w:rPr>
          <w:sz w:val="24"/>
          <w:szCs w:val="24"/>
        </w:rPr>
        <w:t>We have procedures in place for handling client complaints and resolving disputes in accordance with applicable regulations. For more information on this process, please contact our customer support.</w:t>
      </w:r>
    </w:p>
    <w:p w14:paraId="32F0EBBF" w14:textId="77777777" w:rsidR="00E77C11" w:rsidRDefault="00E77C11" w:rsidP="00D64EFE">
      <w:pPr>
        <w:rPr>
          <w:rFonts w:ascii="Poppins" w:hAnsi="Poppins" w:cs="Poppins"/>
          <w:b/>
          <w:bCs/>
          <w:color w:val="D23E3E"/>
          <w:sz w:val="30"/>
          <w:szCs w:val="30"/>
        </w:rPr>
      </w:pPr>
    </w:p>
    <w:p w14:paraId="1AFEF78B" w14:textId="4EDAE3A7"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COMPLAINTS AND DISPUTE RESOLUTION</w:t>
      </w:r>
    </w:p>
    <w:p w14:paraId="3BDA0096" w14:textId="1259D2F7" w:rsidR="00D64EFE" w:rsidRDefault="002875B3" w:rsidP="00D64EFE">
      <w:pPr>
        <w:rPr>
          <w:sz w:val="24"/>
          <w:szCs w:val="24"/>
        </w:rPr>
      </w:pPr>
      <w:r w:rsidRPr="002875B3">
        <w:rPr>
          <w:sz w:val="24"/>
          <w:szCs w:val="24"/>
        </w:rPr>
        <w:t>Our services may contain links to third-party websites or resources. We do not endorse or control these third-party sites and are not responsible for their content, accuracy, or availability. Your use of third-party links is at your own risk.</w:t>
      </w:r>
    </w:p>
    <w:p w14:paraId="247BBF56" w14:textId="77777777" w:rsidR="002875B3" w:rsidRDefault="002875B3" w:rsidP="00D64EFE">
      <w:pPr>
        <w:rPr>
          <w:sz w:val="24"/>
          <w:szCs w:val="24"/>
        </w:rPr>
      </w:pPr>
    </w:p>
    <w:p w14:paraId="2EAD2065" w14:textId="6165012D" w:rsidR="00AE264A" w:rsidRDefault="00C114A9" w:rsidP="00D64EFE">
      <w:pPr>
        <w:rPr>
          <w:rFonts w:ascii="Poppins" w:hAnsi="Poppins" w:cs="Poppins"/>
          <w:b/>
          <w:bCs/>
          <w:color w:val="D23E3E"/>
          <w:sz w:val="30"/>
          <w:szCs w:val="30"/>
        </w:rPr>
      </w:pPr>
      <w:r w:rsidRPr="00AE264A">
        <w:rPr>
          <w:rFonts w:ascii="Poppins" w:hAnsi="Poppins" w:cs="Poppins"/>
          <w:b/>
          <w:bCs/>
          <w:color w:val="D23E3E"/>
          <w:sz w:val="30"/>
          <w:szCs w:val="30"/>
        </w:rPr>
        <w:t>CHANGES TO REGULATORY COMPLIANCE</w:t>
      </w:r>
    </w:p>
    <w:p w14:paraId="55592079" w14:textId="0D9D22C9" w:rsidR="002875B3" w:rsidRDefault="00E77C11" w:rsidP="00D64EFE">
      <w:pPr>
        <w:rPr>
          <w:sz w:val="24"/>
          <w:szCs w:val="24"/>
        </w:rPr>
      </w:pPr>
      <w:r w:rsidRPr="00E77C11">
        <w:rPr>
          <w:sz w:val="24"/>
          <w:szCs w:val="24"/>
        </w:rPr>
        <w:t>We regularly review and update our compliance procedures to ensure that we remain in line with changes to regulatory requirements in New York and Johannesburg.</w:t>
      </w:r>
    </w:p>
    <w:p w14:paraId="70E5D641" w14:textId="77777777" w:rsidR="006D4869" w:rsidRPr="006D4869" w:rsidRDefault="006D4869" w:rsidP="00D64EFE">
      <w:pPr>
        <w:rPr>
          <w:sz w:val="24"/>
          <w:szCs w:val="24"/>
        </w:rPr>
      </w:pPr>
    </w:p>
    <w:p w14:paraId="40A2A945" w14:textId="1BB0AB7B" w:rsidR="00E37728" w:rsidRPr="006D4869" w:rsidRDefault="00257D77" w:rsidP="006D4869">
      <w:pPr>
        <w:rPr>
          <w:b/>
          <w:bCs/>
          <w:sz w:val="28"/>
          <w:szCs w:val="28"/>
        </w:rPr>
      </w:pPr>
      <w:r>
        <w:rPr>
          <w:rFonts w:ascii="Poppins" w:hAnsi="Poppins" w:cs="Poppins"/>
          <w:b/>
          <w:bCs/>
          <w:color w:val="D23E3E"/>
          <w:sz w:val="30"/>
          <w:szCs w:val="30"/>
        </w:rPr>
        <w:t>CONTACT US</w:t>
      </w:r>
    </w:p>
    <w:p w14:paraId="2D129BA7" w14:textId="214FFAE0" w:rsidR="00257D77" w:rsidRDefault="00E77C11" w:rsidP="006D4869">
      <w:pPr>
        <w:rPr>
          <w:sz w:val="24"/>
          <w:szCs w:val="24"/>
        </w:rPr>
      </w:pPr>
      <w:r w:rsidRPr="00E77C11">
        <w:rPr>
          <w:sz w:val="24"/>
          <w:szCs w:val="24"/>
        </w:rPr>
        <w:t>If you have any questions or concerns regarding our regulatory compliance, please contact us at</w:t>
      </w:r>
      <w:r w:rsidR="006D4869" w:rsidRPr="006D4869">
        <w:rPr>
          <w:sz w:val="24"/>
          <w:szCs w:val="24"/>
        </w:rPr>
        <w:t>:</w:t>
      </w:r>
    </w:p>
    <w:p w14:paraId="05863D70" w14:textId="77777777" w:rsidR="00257D77" w:rsidRDefault="00257D77" w:rsidP="00257D77">
      <w:pPr>
        <w:spacing w:after="0"/>
        <w:rPr>
          <w:color w:val="C00000"/>
          <w:sz w:val="24"/>
          <w:szCs w:val="24"/>
        </w:rPr>
      </w:pPr>
      <w:r w:rsidRPr="00257D77">
        <w:rPr>
          <w:color w:val="C00000"/>
          <w:sz w:val="24"/>
          <w:szCs w:val="24"/>
        </w:rPr>
        <w:t>133 Albany Road, North End, Port Elizabeth, Eastern Cape, 6001</w:t>
      </w:r>
    </w:p>
    <w:p w14:paraId="769B9A32" w14:textId="516C5E35" w:rsidR="00257D77" w:rsidRDefault="00257D77" w:rsidP="00257D77">
      <w:pPr>
        <w:spacing w:after="0"/>
        <w:rPr>
          <w:color w:val="C00000"/>
          <w:sz w:val="24"/>
          <w:szCs w:val="24"/>
        </w:rPr>
      </w:pPr>
      <w:r>
        <w:rPr>
          <w:color w:val="C00000"/>
          <w:sz w:val="24"/>
          <w:szCs w:val="24"/>
        </w:rPr>
        <w:t xml:space="preserve">Contact Number: </w:t>
      </w:r>
      <w:r w:rsidRPr="00257D77">
        <w:rPr>
          <w:sz w:val="24"/>
          <w:szCs w:val="24"/>
        </w:rPr>
        <w:t>(012) 345 6789</w:t>
      </w:r>
    </w:p>
    <w:p w14:paraId="5C5B9723" w14:textId="1918ABC8" w:rsidR="00E37728" w:rsidRPr="00257D77" w:rsidRDefault="00257D77" w:rsidP="00257D77">
      <w:pPr>
        <w:spacing w:after="0"/>
        <w:rPr>
          <w:sz w:val="24"/>
          <w:szCs w:val="24"/>
        </w:rPr>
      </w:pPr>
      <w:r>
        <w:rPr>
          <w:color w:val="C00000"/>
          <w:sz w:val="24"/>
          <w:szCs w:val="24"/>
        </w:rPr>
        <w:t xml:space="preserve">Email Address: </w:t>
      </w:r>
      <w:r w:rsidRPr="00257D77">
        <w:rPr>
          <w:sz w:val="24"/>
          <w:szCs w:val="24"/>
        </w:rPr>
        <w:t>query@stg.com</w:t>
      </w:r>
      <w:r w:rsidR="00E37728" w:rsidRPr="00257D77">
        <w:rPr>
          <w:sz w:val="24"/>
          <w:szCs w:val="24"/>
        </w:rPr>
        <w:br/>
      </w:r>
      <w:r w:rsidR="00E37728" w:rsidRPr="00257D77">
        <w:rPr>
          <w:sz w:val="24"/>
          <w:szCs w:val="24"/>
        </w:rPr>
        <w:br/>
      </w:r>
    </w:p>
    <w:p w14:paraId="0F0DA0FC" w14:textId="77777777" w:rsidR="00E37728" w:rsidRPr="00E37728" w:rsidRDefault="00E37728" w:rsidP="00E37728">
      <w:pPr>
        <w:spacing w:after="0"/>
        <w:rPr>
          <w:sz w:val="24"/>
          <w:szCs w:val="24"/>
        </w:rPr>
      </w:pPr>
    </w:p>
    <w:sectPr w:rsidR="00E37728" w:rsidRPr="00E37728">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7104" w14:textId="77777777" w:rsidR="00E37728" w:rsidRDefault="00E37728" w:rsidP="00E37728">
      <w:pPr>
        <w:spacing w:after="0" w:line="240" w:lineRule="auto"/>
      </w:pPr>
      <w:r>
        <w:separator/>
      </w:r>
    </w:p>
  </w:endnote>
  <w:endnote w:type="continuationSeparator" w:id="0">
    <w:p w14:paraId="4C68F998" w14:textId="77777777" w:rsidR="00E37728" w:rsidRDefault="00E37728" w:rsidP="00E3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439C" w14:textId="77777777" w:rsidR="00E37728" w:rsidRDefault="00E37728" w:rsidP="00E37728">
      <w:pPr>
        <w:spacing w:after="0" w:line="240" w:lineRule="auto"/>
      </w:pPr>
      <w:r>
        <w:separator/>
      </w:r>
    </w:p>
  </w:footnote>
  <w:footnote w:type="continuationSeparator" w:id="0">
    <w:p w14:paraId="39055131" w14:textId="77777777" w:rsidR="00E37728" w:rsidRDefault="00E37728" w:rsidP="00E37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F228" w14:textId="77777777" w:rsidR="00E37728" w:rsidRDefault="00E37728">
    <w:pPr>
      <w:pStyle w:val="Header"/>
    </w:pPr>
    <w:r>
      <w:rPr>
        <w:noProof/>
      </w:rPr>
      <mc:AlternateContent>
        <mc:Choice Requires="wps">
          <w:drawing>
            <wp:anchor distT="0" distB="0" distL="0" distR="0" simplePos="0" relativeHeight="251659264" behindDoc="0" locked="0" layoutInCell="1" allowOverlap="1" wp14:anchorId="5C86C853" wp14:editId="39BFFA3C">
              <wp:simplePos x="635" y="635"/>
              <wp:positionH relativeFrom="leftMargin">
                <wp:align>left</wp:align>
              </wp:positionH>
              <wp:positionV relativeFrom="paragraph">
                <wp:posOffset>635</wp:posOffset>
              </wp:positionV>
              <wp:extent cx="443865" cy="443865"/>
              <wp:effectExtent l="0" t="0" r="13970" b="762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18B6C9" w14:textId="77777777" w:rsidR="00E37728" w:rsidRPr="00E37728" w:rsidRDefault="00E37728">
                          <w:pPr>
                            <w:rPr>
                              <w:rFonts w:ascii="Arial" w:eastAsia="Arial" w:hAnsi="Arial" w:cs="Arial"/>
                              <w:noProof/>
                              <w:color w:val="FF8F1F"/>
                              <w:sz w:val="20"/>
                              <w:szCs w:val="20"/>
                            </w:rPr>
                          </w:pPr>
                          <w:r w:rsidRPr="00E37728">
                            <w:rPr>
                              <w:rFonts w:ascii="Arial" w:eastAsia="Arial" w:hAnsi="Arial" w:cs="Arial"/>
                              <w:noProof/>
                              <w:color w:val="FF8F1F"/>
                              <w:sz w:val="20"/>
                              <w:szCs w:val="20"/>
                            </w:rPr>
                            <w:t>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C86C853"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4018B6C9" w14:textId="77777777" w:rsidR="00E37728" w:rsidRPr="00E37728" w:rsidRDefault="00E37728">
                    <w:pPr>
                      <w:rPr>
                        <w:rFonts w:ascii="Arial" w:eastAsia="Arial" w:hAnsi="Arial" w:cs="Arial"/>
                        <w:noProof/>
                        <w:color w:val="FF8F1F"/>
                        <w:sz w:val="20"/>
                        <w:szCs w:val="20"/>
                      </w:rPr>
                    </w:pPr>
                    <w:r w:rsidRPr="00E37728">
                      <w:rPr>
                        <w:rFonts w:ascii="Arial" w:eastAsia="Arial" w:hAnsi="Arial" w:cs="Arial"/>
                        <w:noProof/>
                        <w:color w:val="FF8F1F"/>
                        <w:sz w:val="20"/>
                        <w:szCs w:val="20"/>
                      </w:rPr>
                      <w:t>Internal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21B8D" w14:textId="0F344827" w:rsidR="00E37728" w:rsidRPr="00E37728" w:rsidRDefault="00E37728" w:rsidP="00E37728">
    <w:pPr>
      <w:pStyle w:val="Heading1"/>
      <w:tabs>
        <w:tab w:val="left" w:pos="2400"/>
      </w:tabs>
      <w:spacing w:before="0" w:beforeAutospacing="0" w:after="0" w:afterAutospacing="0"/>
      <w:rPr>
        <w:rFonts w:ascii="Poppins" w:hAnsi="Poppins" w:cs="Poppins"/>
        <w:sz w:val="56"/>
        <w:szCs w:val="56"/>
      </w:rPr>
    </w:pPr>
    <w:r w:rsidRPr="00E37728">
      <w:rPr>
        <w:noProof/>
        <w:sz w:val="40"/>
        <w:szCs w:val="40"/>
      </w:rPr>
      <w:drawing>
        <wp:anchor distT="0" distB="0" distL="114300" distR="114300" simplePos="0" relativeHeight="251660288" behindDoc="1" locked="0" layoutInCell="1" allowOverlap="1" wp14:anchorId="7F173BB6" wp14:editId="0B78DFDF">
          <wp:simplePos x="0" y="0"/>
          <wp:positionH relativeFrom="column">
            <wp:posOffset>-641350</wp:posOffset>
          </wp:positionH>
          <wp:positionV relativeFrom="paragraph">
            <wp:posOffset>-100330</wp:posOffset>
          </wp:positionV>
          <wp:extent cx="1333686" cy="87642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333686" cy="876422"/>
                  </a:xfrm>
                  <a:prstGeom prst="rect">
                    <a:avLst/>
                  </a:prstGeom>
                </pic:spPr>
              </pic:pic>
            </a:graphicData>
          </a:graphic>
        </wp:anchor>
      </w:drawing>
    </w:r>
    <w:r>
      <w:rPr>
        <w:rFonts w:ascii="Poppins" w:hAnsi="Poppins" w:cs="Poppins"/>
        <w:sz w:val="56"/>
        <w:szCs w:val="56"/>
      </w:rPr>
      <w:t xml:space="preserve">          </w:t>
    </w:r>
    <w:r w:rsidR="009A717E" w:rsidRPr="009A717E">
      <w:rPr>
        <w:rFonts w:ascii="Poppins" w:hAnsi="Poppins" w:cs="Poppins"/>
        <w:color w:val="C00000"/>
        <w:sz w:val="56"/>
        <w:szCs w:val="56"/>
      </w:rPr>
      <w:t>REGULATORY COMPLIANCE</w:t>
    </w:r>
  </w:p>
  <w:p w14:paraId="5B737F02" w14:textId="1DF7D321" w:rsidR="00E37728" w:rsidRPr="00E37728" w:rsidRDefault="00E37728" w:rsidP="00E37728">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B061" w14:textId="77777777" w:rsidR="00E37728" w:rsidRDefault="00E37728">
    <w:pPr>
      <w:pStyle w:val="Header"/>
    </w:pPr>
    <w:r>
      <w:rPr>
        <w:noProof/>
      </w:rPr>
      <mc:AlternateContent>
        <mc:Choice Requires="wps">
          <w:drawing>
            <wp:anchor distT="0" distB="0" distL="0" distR="0" simplePos="0" relativeHeight="251658240" behindDoc="0" locked="0" layoutInCell="1" allowOverlap="1" wp14:anchorId="331FDBDE" wp14:editId="68429BA7">
              <wp:simplePos x="635" y="635"/>
              <wp:positionH relativeFrom="leftMargin">
                <wp:align>left</wp:align>
              </wp:positionH>
              <wp:positionV relativeFrom="paragraph">
                <wp:posOffset>635</wp:posOffset>
              </wp:positionV>
              <wp:extent cx="443865" cy="443865"/>
              <wp:effectExtent l="0" t="0" r="13970" b="762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5A44DC" w14:textId="77777777" w:rsidR="00E37728" w:rsidRPr="00E37728" w:rsidRDefault="00E37728">
                          <w:pPr>
                            <w:rPr>
                              <w:rFonts w:ascii="Arial" w:eastAsia="Arial" w:hAnsi="Arial" w:cs="Arial"/>
                              <w:noProof/>
                              <w:color w:val="FF8F1F"/>
                              <w:sz w:val="20"/>
                              <w:szCs w:val="20"/>
                            </w:rPr>
                          </w:pPr>
                          <w:r w:rsidRPr="00E37728">
                            <w:rPr>
                              <w:rFonts w:ascii="Arial" w:eastAsia="Arial" w:hAnsi="Arial" w:cs="Arial"/>
                              <w:noProof/>
                              <w:color w:val="FF8F1F"/>
                              <w:sz w:val="20"/>
                              <w:szCs w:val="20"/>
                            </w:rPr>
                            <w:t>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31FDBDE" id="_x0000_t202" coordsize="21600,21600" o:spt="202" path="m,l,21600r21600,l21600,xe">
              <v:stroke joinstyle="miter"/>
              <v:path gradientshapeok="t" o:connecttype="rect"/>
            </v:shapetype>
            <v:shape id="Text Box 1" o:spid="_x0000_s1027" type="#_x0000_t202" alt="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5E5A44DC" w14:textId="77777777" w:rsidR="00E37728" w:rsidRPr="00E37728" w:rsidRDefault="00E37728">
                    <w:pPr>
                      <w:rPr>
                        <w:rFonts w:ascii="Arial" w:eastAsia="Arial" w:hAnsi="Arial" w:cs="Arial"/>
                        <w:noProof/>
                        <w:color w:val="FF8F1F"/>
                        <w:sz w:val="20"/>
                        <w:szCs w:val="20"/>
                      </w:rPr>
                    </w:pPr>
                    <w:r w:rsidRPr="00E37728">
                      <w:rPr>
                        <w:rFonts w:ascii="Arial" w:eastAsia="Arial" w:hAnsi="Arial" w:cs="Arial"/>
                        <w:noProof/>
                        <w:color w:val="FF8F1F"/>
                        <w:sz w:val="20"/>
                        <w:szCs w:val="20"/>
                      </w:rPr>
                      <w:t>Internal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7244"/>
    <w:multiLevelType w:val="hybridMultilevel"/>
    <w:tmpl w:val="55563476"/>
    <w:lvl w:ilvl="0" w:tplc="2352859C">
      <w:start w:val="1"/>
      <w:numFmt w:val="bullet"/>
      <w:lvlText w:val=""/>
      <w:lvlJc w:val="left"/>
      <w:pPr>
        <w:ind w:left="360" w:hanging="360"/>
      </w:pPr>
      <w:rPr>
        <w:rFonts w:ascii="Symbol" w:hAnsi="Symbol" w:hint="default"/>
        <w:color w:val="C0000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4B4C59D3"/>
    <w:multiLevelType w:val="hybridMultilevel"/>
    <w:tmpl w:val="60A4DD64"/>
    <w:lvl w:ilvl="0" w:tplc="2352859C">
      <w:start w:val="1"/>
      <w:numFmt w:val="bullet"/>
      <w:lvlText w:val=""/>
      <w:lvlJc w:val="left"/>
      <w:pPr>
        <w:ind w:left="360" w:hanging="360"/>
      </w:pPr>
      <w:rPr>
        <w:rFonts w:ascii="Symbol" w:hAnsi="Symbol" w:hint="default"/>
        <w:color w:val="C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83307A7"/>
    <w:multiLevelType w:val="hybridMultilevel"/>
    <w:tmpl w:val="BD0AD3FE"/>
    <w:lvl w:ilvl="0" w:tplc="5E320928">
      <w:start w:val="1"/>
      <w:numFmt w:val="bullet"/>
      <w:lvlText w:val=""/>
      <w:lvlJc w:val="left"/>
      <w:pPr>
        <w:ind w:left="360" w:hanging="360"/>
      </w:pPr>
      <w:rPr>
        <w:rFonts w:ascii="Symbol" w:hAnsi="Symbol" w:hint="default"/>
        <w:color w:val="C0000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390230670">
    <w:abstractNumId w:val="2"/>
  </w:num>
  <w:num w:numId="2" w16cid:durableId="1529639070">
    <w:abstractNumId w:val="0"/>
  </w:num>
  <w:num w:numId="3" w16cid:durableId="170270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28"/>
    <w:rsid w:val="000A075D"/>
    <w:rsid w:val="001C6250"/>
    <w:rsid w:val="002218F1"/>
    <w:rsid w:val="00257D77"/>
    <w:rsid w:val="002875B3"/>
    <w:rsid w:val="0031385B"/>
    <w:rsid w:val="003B2D91"/>
    <w:rsid w:val="004667FC"/>
    <w:rsid w:val="006D4869"/>
    <w:rsid w:val="00747DA1"/>
    <w:rsid w:val="009A0B57"/>
    <w:rsid w:val="009A717E"/>
    <w:rsid w:val="00AE264A"/>
    <w:rsid w:val="00C114A9"/>
    <w:rsid w:val="00CA707E"/>
    <w:rsid w:val="00D64EFE"/>
    <w:rsid w:val="00E37728"/>
    <w:rsid w:val="00E77C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629A3"/>
  <w15:chartTrackingRefBased/>
  <w15:docId w15:val="{FEFFD70C-6F86-471A-8FE7-F55FFCCF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5">
    <w:name w:val="heading 5"/>
    <w:basedOn w:val="Normal"/>
    <w:next w:val="Normal"/>
    <w:link w:val="Heading5Char"/>
    <w:uiPriority w:val="9"/>
    <w:unhideWhenUsed/>
    <w:qFormat/>
    <w:rsid w:val="00E377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28"/>
  </w:style>
  <w:style w:type="paragraph" w:styleId="Footer">
    <w:name w:val="footer"/>
    <w:basedOn w:val="Normal"/>
    <w:link w:val="FooterChar"/>
    <w:uiPriority w:val="99"/>
    <w:unhideWhenUsed/>
    <w:rsid w:val="00E37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728"/>
  </w:style>
  <w:style w:type="character" w:customStyle="1" w:styleId="Heading1Char">
    <w:name w:val="Heading 1 Char"/>
    <w:basedOn w:val="DefaultParagraphFont"/>
    <w:link w:val="Heading1"/>
    <w:uiPriority w:val="9"/>
    <w:rsid w:val="00E37728"/>
    <w:rPr>
      <w:rFonts w:ascii="Times New Roman" w:eastAsia="Times New Roman" w:hAnsi="Times New Roman" w:cs="Times New Roman"/>
      <w:b/>
      <w:bCs/>
      <w:kern w:val="36"/>
      <w:sz w:val="48"/>
      <w:szCs w:val="48"/>
      <w:lang w:eastAsia="en-ZA"/>
    </w:rPr>
  </w:style>
  <w:style w:type="paragraph" w:styleId="ListParagraph">
    <w:name w:val="List Paragraph"/>
    <w:basedOn w:val="Normal"/>
    <w:uiPriority w:val="34"/>
    <w:qFormat/>
    <w:rsid w:val="00E37728"/>
    <w:pPr>
      <w:ind w:left="720"/>
      <w:contextualSpacing/>
    </w:pPr>
  </w:style>
  <w:style w:type="character" w:customStyle="1" w:styleId="Heading5Char">
    <w:name w:val="Heading 5 Char"/>
    <w:basedOn w:val="DefaultParagraphFont"/>
    <w:link w:val="Heading5"/>
    <w:uiPriority w:val="9"/>
    <w:rsid w:val="00E3772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31385B"/>
    <w:rPr>
      <w:color w:val="0563C1" w:themeColor="hyperlink"/>
      <w:u w:val="single"/>
    </w:rPr>
  </w:style>
  <w:style w:type="character" w:styleId="UnresolvedMention">
    <w:name w:val="Unresolved Mention"/>
    <w:basedOn w:val="DefaultParagraphFont"/>
    <w:uiPriority w:val="99"/>
    <w:semiHidden/>
    <w:unhideWhenUsed/>
    <w:rsid w:val="0031385B"/>
    <w:rPr>
      <w:color w:val="605E5C"/>
      <w:shd w:val="clear" w:color="auto" w:fill="E1DFDD"/>
    </w:rPr>
  </w:style>
  <w:style w:type="character" w:styleId="FollowedHyperlink">
    <w:name w:val="FollowedHyperlink"/>
    <w:basedOn w:val="DefaultParagraphFont"/>
    <w:uiPriority w:val="99"/>
    <w:semiHidden/>
    <w:unhideWhenUsed/>
    <w:rsid w:val="00313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138">
      <w:bodyDiv w:val="1"/>
      <w:marLeft w:val="0"/>
      <w:marRight w:val="0"/>
      <w:marTop w:val="0"/>
      <w:marBottom w:val="0"/>
      <w:divBdr>
        <w:top w:val="none" w:sz="0" w:space="0" w:color="auto"/>
        <w:left w:val="none" w:sz="0" w:space="0" w:color="auto"/>
        <w:bottom w:val="none" w:sz="0" w:space="0" w:color="auto"/>
        <w:right w:val="none" w:sz="0" w:space="0" w:color="auto"/>
      </w:divBdr>
    </w:div>
    <w:div w:id="116993937">
      <w:bodyDiv w:val="1"/>
      <w:marLeft w:val="0"/>
      <w:marRight w:val="0"/>
      <w:marTop w:val="0"/>
      <w:marBottom w:val="0"/>
      <w:divBdr>
        <w:top w:val="none" w:sz="0" w:space="0" w:color="auto"/>
        <w:left w:val="none" w:sz="0" w:space="0" w:color="auto"/>
        <w:bottom w:val="none" w:sz="0" w:space="0" w:color="auto"/>
        <w:right w:val="none" w:sz="0" w:space="0" w:color="auto"/>
      </w:divBdr>
    </w:div>
    <w:div w:id="300623819">
      <w:bodyDiv w:val="1"/>
      <w:marLeft w:val="0"/>
      <w:marRight w:val="0"/>
      <w:marTop w:val="0"/>
      <w:marBottom w:val="0"/>
      <w:divBdr>
        <w:top w:val="none" w:sz="0" w:space="0" w:color="auto"/>
        <w:left w:val="none" w:sz="0" w:space="0" w:color="auto"/>
        <w:bottom w:val="none" w:sz="0" w:space="0" w:color="auto"/>
        <w:right w:val="none" w:sz="0" w:space="0" w:color="auto"/>
      </w:divBdr>
    </w:div>
    <w:div w:id="496384714">
      <w:bodyDiv w:val="1"/>
      <w:marLeft w:val="0"/>
      <w:marRight w:val="0"/>
      <w:marTop w:val="0"/>
      <w:marBottom w:val="0"/>
      <w:divBdr>
        <w:top w:val="none" w:sz="0" w:space="0" w:color="auto"/>
        <w:left w:val="none" w:sz="0" w:space="0" w:color="auto"/>
        <w:bottom w:val="none" w:sz="0" w:space="0" w:color="auto"/>
        <w:right w:val="none" w:sz="0" w:space="0" w:color="auto"/>
      </w:divBdr>
    </w:div>
    <w:div w:id="910508774">
      <w:bodyDiv w:val="1"/>
      <w:marLeft w:val="0"/>
      <w:marRight w:val="0"/>
      <w:marTop w:val="0"/>
      <w:marBottom w:val="0"/>
      <w:divBdr>
        <w:top w:val="none" w:sz="0" w:space="0" w:color="auto"/>
        <w:left w:val="none" w:sz="0" w:space="0" w:color="auto"/>
        <w:bottom w:val="none" w:sz="0" w:space="0" w:color="auto"/>
        <w:right w:val="none" w:sz="0" w:space="0" w:color="auto"/>
      </w:divBdr>
    </w:div>
    <w:div w:id="1047342055">
      <w:bodyDiv w:val="1"/>
      <w:marLeft w:val="0"/>
      <w:marRight w:val="0"/>
      <w:marTop w:val="0"/>
      <w:marBottom w:val="0"/>
      <w:divBdr>
        <w:top w:val="none" w:sz="0" w:space="0" w:color="auto"/>
        <w:left w:val="none" w:sz="0" w:space="0" w:color="auto"/>
        <w:bottom w:val="none" w:sz="0" w:space="0" w:color="auto"/>
        <w:right w:val="none" w:sz="0" w:space="0" w:color="auto"/>
      </w:divBdr>
    </w:div>
    <w:div w:id="1217546974">
      <w:bodyDiv w:val="1"/>
      <w:marLeft w:val="0"/>
      <w:marRight w:val="0"/>
      <w:marTop w:val="0"/>
      <w:marBottom w:val="0"/>
      <w:divBdr>
        <w:top w:val="none" w:sz="0" w:space="0" w:color="auto"/>
        <w:left w:val="none" w:sz="0" w:space="0" w:color="auto"/>
        <w:bottom w:val="none" w:sz="0" w:space="0" w:color="auto"/>
        <w:right w:val="none" w:sz="0" w:space="0" w:color="auto"/>
      </w:divBdr>
    </w:div>
    <w:div w:id="1360857543">
      <w:bodyDiv w:val="1"/>
      <w:marLeft w:val="0"/>
      <w:marRight w:val="0"/>
      <w:marTop w:val="0"/>
      <w:marBottom w:val="0"/>
      <w:divBdr>
        <w:top w:val="none" w:sz="0" w:space="0" w:color="auto"/>
        <w:left w:val="none" w:sz="0" w:space="0" w:color="auto"/>
        <w:bottom w:val="none" w:sz="0" w:space="0" w:color="auto"/>
        <w:right w:val="none" w:sz="0" w:space="0" w:color="auto"/>
      </w:divBdr>
    </w:div>
    <w:div w:id="16011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Mochachane, Kamohelo (Contractor)</dc:creator>
  <cp:keywords/>
  <dc:description/>
  <cp:lastModifiedBy>Mochachane, Kamohelo (Contractor)</cp:lastModifiedBy>
  <cp:revision>11</cp:revision>
  <cp:lastPrinted>2023-10-14T10:18:00Z</cp:lastPrinted>
  <dcterms:created xsi:type="dcterms:W3CDTF">2023-10-14T10:10:00Z</dcterms:created>
  <dcterms:modified xsi:type="dcterms:W3CDTF">2023-10-14T10:43:00Z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#ff8f1f,10,Arial</vt:lpwstr>
  </property>
  <property fmtid="{D5CDD505-2E9C-101B-9397-08002B2CF9AE}" pid="4" name="ClassificationContentMarkingHeaderText">
    <vt:lpwstr>Internal</vt:lpwstr>
  </property>
  <property fmtid="{D5CDD505-2E9C-101B-9397-08002B2CF9AE}" pid="5" name="MSIP_Label_16b2258f-3676-449a-9218-817a22e44788_Enabled">
    <vt:lpwstr>true</vt:lpwstr>
  </property>
  <property fmtid="{D5CDD505-2E9C-101B-9397-08002B2CF9AE}" pid="6" name="MSIP_Label_16b2258f-3676-449a-9218-817a22e44788_SetDate">
    <vt:lpwstr>2023-10-14T09:24:55Z</vt:lpwstr>
  </property>
  <property fmtid="{D5CDD505-2E9C-101B-9397-08002B2CF9AE}" pid="7" name="MSIP_Label_16b2258f-3676-449a-9218-817a22e44788_Method">
    <vt:lpwstr>Standard</vt:lpwstr>
  </property>
  <property fmtid="{D5CDD505-2E9C-101B-9397-08002B2CF9AE}" pid="8" name="MSIP_Label_16b2258f-3676-449a-9218-817a22e44788_Name">
    <vt:lpwstr>Internal - Labeled</vt:lpwstr>
  </property>
  <property fmtid="{D5CDD505-2E9C-101B-9397-08002B2CF9AE}" pid="9" name="MSIP_Label_16b2258f-3676-449a-9218-817a22e44788_SiteId">
    <vt:lpwstr>e8d897a8-f400-4625-858a-6f3ae627542b</vt:lpwstr>
  </property>
  <property fmtid="{D5CDD505-2E9C-101B-9397-08002B2CF9AE}" pid="10" name="MSIP_Label_16b2258f-3676-449a-9218-817a22e44788_ActionId">
    <vt:lpwstr>764e04dd-e2ed-4099-9033-860580c2ef19</vt:lpwstr>
  </property>
  <property fmtid="{D5CDD505-2E9C-101B-9397-08002B2CF9AE}" pid="11" name="MSIP_Label_16b2258f-3676-449a-9218-817a22e44788_ContentBits">
    <vt:lpwstr>1</vt:lpwstr>
  </property>
</Properties>
</file>