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70DC" w14:textId="77777777" w:rsidR="007719CC" w:rsidRDefault="00771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790"/>
        <w:gridCol w:w="2790"/>
      </w:tblGrid>
      <w:tr w:rsidR="00952F49" w14:paraId="044BCE2F" w14:textId="77777777" w:rsidTr="00F04644">
        <w:tc>
          <w:tcPr>
            <w:tcW w:w="3116" w:type="dxa"/>
          </w:tcPr>
          <w:p w14:paraId="7BDD826F" w14:textId="77777777" w:rsidR="00952F49" w:rsidRDefault="00952F49" w:rsidP="00821ECB">
            <w:r>
              <w:t>Application Name</w:t>
            </w:r>
          </w:p>
        </w:tc>
        <w:tc>
          <w:tcPr>
            <w:tcW w:w="2790" w:type="dxa"/>
          </w:tcPr>
          <w:p w14:paraId="7BE1C658" w14:textId="77777777" w:rsidR="00952F49" w:rsidRPr="006A565F" w:rsidRDefault="00952F49" w:rsidP="00821ECB">
            <w:r w:rsidRPr="006A565F">
              <w:t xml:space="preserve">Awarded/Approved Amount </w:t>
            </w:r>
          </w:p>
        </w:tc>
        <w:tc>
          <w:tcPr>
            <w:tcW w:w="2790" w:type="dxa"/>
          </w:tcPr>
          <w:p w14:paraId="1F831F13" w14:textId="77777777" w:rsidR="00952F49" w:rsidRPr="006A565F" w:rsidRDefault="006D6322" w:rsidP="00821ECB">
            <w:r>
              <w:t>Paid amount (as of 4/14</w:t>
            </w:r>
            <w:r w:rsidR="00952F49" w:rsidRPr="006A565F">
              <w:t>/23)</w:t>
            </w:r>
          </w:p>
        </w:tc>
      </w:tr>
      <w:tr w:rsidR="00952F49" w14:paraId="6D3E0DDB" w14:textId="77777777" w:rsidTr="00F04644">
        <w:tc>
          <w:tcPr>
            <w:tcW w:w="3116" w:type="dxa"/>
            <w:shd w:val="clear" w:color="auto" w:fill="BDD6EE" w:themeFill="accent1" w:themeFillTint="66"/>
          </w:tcPr>
          <w:p w14:paraId="6B318FFA" w14:textId="77777777" w:rsidR="00952F49" w:rsidRDefault="00952F49" w:rsidP="00821ECB">
            <w:r>
              <w:t>CRRSA Funded –</w:t>
            </w:r>
            <w:r w:rsidR="0066493A">
              <w:t xml:space="preserve"> Closed*</w:t>
            </w:r>
          </w:p>
        </w:tc>
        <w:tc>
          <w:tcPr>
            <w:tcW w:w="2790" w:type="dxa"/>
            <w:shd w:val="clear" w:color="auto" w:fill="BDD6EE" w:themeFill="accent1" w:themeFillTint="66"/>
          </w:tcPr>
          <w:p w14:paraId="676D5EC8" w14:textId="77777777" w:rsidR="00952F49" w:rsidRDefault="00952F49" w:rsidP="00821ECB"/>
        </w:tc>
        <w:tc>
          <w:tcPr>
            <w:tcW w:w="2790" w:type="dxa"/>
            <w:shd w:val="clear" w:color="auto" w:fill="BDD6EE" w:themeFill="accent1" w:themeFillTint="66"/>
          </w:tcPr>
          <w:p w14:paraId="69DA0D53" w14:textId="77777777" w:rsidR="00952F49" w:rsidRDefault="00952F49" w:rsidP="00821ECB"/>
        </w:tc>
      </w:tr>
      <w:tr w:rsidR="00952F49" w14:paraId="214963F7" w14:textId="77777777" w:rsidTr="00123B4A">
        <w:tc>
          <w:tcPr>
            <w:tcW w:w="3116" w:type="dxa"/>
          </w:tcPr>
          <w:p w14:paraId="00A66932" w14:textId="77777777" w:rsidR="00952F49" w:rsidRDefault="00952F49" w:rsidP="00952F49">
            <w:r>
              <w:t xml:space="preserve">Non-traditional Hours  </w:t>
            </w:r>
          </w:p>
        </w:tc>
        <w:tc>
          <w:tcPr>
            <w:tcW w:w="2790" w:type="dxa"/>
          </w:tcPr>
          <w:p w14:paraId="0B1E6687" w14:textId="77777777" w:rsidR="00952F49" w:rsidRDefault="006A565F" w:rsidP="006A565F">
            <w:pPr>
              <w:jc w:val="right"/>
            </w:pPr>
            <w:r>
              <w:t>1,703,</w:t>
            </w:r>
            <w:r w:rsidR="00952F49">
              <w:t>000.00</w:t>
            </w:r>
          </w:p>
        </w:tc>
        <w:tc>
          <w:tcPr>
            <w:tcW w:w="2790" w:type="dxa"/>
          </w:tcPr>
          <w:p w14:paraId="285007D6" w14:textId="77777777" w:rsidR="00952F49" w:rsidRDefault="00952F49" w:rsidP="00123B4A">
            <w:pPr>
              <w:jc w:val="right"/>
            </w:pPr>
            <w:r>
              <w:t>1,702,000.00</w:t>
            </w:r>
          </w:p>
        </w:tc>
      </w:tr>
      <w:tr w:rsidR="00952F49" w14:paraId="02030227" w14:textId="77777777" w:rsidTr="00A75D4E">
        <w:tc>
          <w:tcPr>
            <w:tcW w:w="3116" w:type="dxa"/>
          </w:tcPr>
          <w:p w14:paraId="178CB3F1" w14:textId="77777777" w:rsidR="00952F49" w:rsidRPr="00DF6607" w:rsidRDefault="00F265C2" w:rsidP="00A75D4E">
            <w:pPr>
              <w:rPr>
                <w:highlight w:val="yellow"/>
              </w:rPr>
            </w:pPr>
            <w:r w:rsidRPr="00DF6607">
              <w:rPr>
                <w:highlight w:val="yellow"/>
              </w:rPr>
              <w:t>Enhancement</w:t>
            </w:r>
          </w:p>
        </w:tc>
        <w:tc>
          <w:tcPr>
            <w:tcW w:w="2790" w:type="dxa"/>
          </w:tcPr>
          <w:p w14:paraId="0BDFDF09" w14:textId="77777777" w:rsidR="00952F49" w:rsidRPr="00DF6607" w:rsidRDefault="006A565F" w:rsidP="006A565F">
            <w:pPr>
              <w:jc w:val="right"/>
              <w:rPr>
                <w:highlight w:val="yellow"/>
              </w:rPr>
            </w:pPr>
            <w:r w:rsidRPr="00DF6607">
              <w:rPr>
                <w:highlight w:val="yellow"/>
              </w:rPr>
              <w:t>4,937,047.98</w:t>
            </w:r>
          </w:p>
        </w:tc>
        <w:tc>
          <w:tcPr>
            <w:tcW w:w="2790" w:type="dxa"/>
          </w:tcPr>
          <w:p w14:paraId="267C1A20" w14:textId="77777777" w:rsidR="00952F49" w:rsidRPr="00DF6607" w:rsidRDefault="00952F49" w:rsidP="00A75D4E">
            <w:pPr>
              <w:jc w:val="right"/>
              <w:rPr>
                <w:highlight w:val="yellow"/>
              </w:rPr>
            </w:pPr>
            <w:r w:rsidRPr="00DF6607">
              <w:rPr>
                <w:highlight w:val="yellow"/>
              </w:rPr>
              <w:t>4,912,733.41</w:t>
            </w:r>
          </w:p>
        </w:tc>
      </w:tr>
      <w:tr w:rsidR="0066493A" w14:paraId="7B5D07BB" w14:textId="77777777" w:rsidTr="00821ECB">
        <w:tc>
          <w:tcPr>
            <w:tcW w:w="3116" w:type="dxa"/>
          </w:tcPr>
          <w:p w14:paraId="487636B2" w14:textId="77777777" w:rsidR="0066493A" w:rsidRPr="008C1B16" w:rsidRDefault="0066493A" w:rsidP="00821ECB">
            <w:pPr>
              <w:rPr>
                <w:highlight w:val="yellow"/>
              </w:rPr>
            </w:pPr>
            <w:r w:rsidRPr="008C1B16">
              <w:rPr>
                <w:highlight w:val="yellow"/>
              </w:rPr>
              <w:t xml:space="preserve">Paycheck Protection </w:t>
            </w:r>
          </w:p>
        </w:tc>
        <w:tc>
          <w:tcPr>
            <w:tcW w:w="2790" w:type="dxa"/>
          </w:tcPr>
          <w:p w14:paraId="7A1D266A" w14:textId="77777777" w:rsidR="0066493A" w:rsidRPr="008C1B16" w:rsidRDefault="0066493A" w:rsidP="00821ECB">
            <w:pPr>
              <w:jc w:val="right"/>
              <w:rPr>
                <w:highlight w:val="yellow"/>
              </w:rPr>
            </w:pPr>
            <w:r w:rsidRPr="008C1B16">
              <w:rPr>
                <w:highlight w:val="yellow"/>
              </w:rPr>
              <w:t>71,480,424.18</w:t>
            </w:r>
          </w:p>
        </w:tc>
        <w:tc>
          <w:tcPr>
            <w:tcW w:w="2790" w:type="dxa"/>
          </w:tcPr>
          <w:p w14:paraId="4B579E34" w14:textId="77777777" w:rsidR="0066493A" w:rsidRPr="008C1B16" w:rsidRDefault="0066493A" w:rsidP="00821ECB">
            <w:pPr>
              <w:jc w:val="right"/>
              <w:rPr>
                <w:highlight w:val="yellow"/>
              </w:rPr>
            </w:pPr>
            <w:r w:rsidRPr="008C1B16">
              <w:rPr>
                <w:highlight w:val="yellow"/>
              </w:rPr>
              <w:t>63,793,170.00</w:t>
            </w:r>
          </w:p>
        </w:tc>
      </w:tr>
      <w:tr w:rsidR="0066493A" w14:paraId="56E67B63" w14:textId="77777777" w:rsidTr="00821ECB">
        <w:tc>
          <w:tcPr>
            <w:tcW w:w="3116" w:type="dxa"/>
          </w:tcPr>
          <w:p w14:paraId="3AFE7EC7" w14:textId="77777777" w:rsidR="0066493A" w:rsidRPr="008C1B16" w:rsidRDefault="0066493A" w:rsidP="00821ECB">
            <w:pPr>
              <w:rPr>
                <w:highlight w:val="yellow"/>
              </w:rPr>
            </w:pPr>
            <w:r w:rsidRPr="008C1B16">
              <w:rPr>
                <w:highlight w:val="yellow"/>
              </w:rPr>
              <w:t xml:space="preserve">Technical Business Assistance </w:t>
            </w:r>
          </w:p>
        </w:tc>
        <w:tc>
          <w:tcPr>
            <w:tcW w:w="2790" w:type="dxa"/>
          </w:tcPr>
          <w:p w14:paraId="50527D39" w14:textId="77777777" w:rsidR="0066493A" w:rsidRPr="008C1B16" w:rsidRDefault="0066493A" w:rsidP="00821ECB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8C1B16">
              <w:rPr>
                <w:highlight w:val="yellow"/>
              </w:rPr>
              <w:t>2,289,500.19</w:t>
            </w:r>
          </w:p>
        </w:tc>
        <w:tc>
          <w:tcPr>
            <w:tcW w:w="2790" w:type="dxa"/>
          </w:tcPr>
          <w:p w14:paraId="079AC0E3" w14:textId="77777777" w:rsidR="0066493A" w:rsidRPr="008C1B16" w:rsidRDefault="0066493A" w:rsidP="00821ECB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8C1B16">
              <w:rPr>
                <w:rFonts w:ascii="Calibri" w:hAnsi="Calibri" w:cs="Calibri"/>
                <w:color w:val="000000"/>
                <w:highlight w:val="yellow"/>
              </w:rPr>
              <w:t>2,035,932.00</w:t>
            </w:r>
          </w:p>
        </w:tc>
      </w:tr>
      <w:tr w:rsidR="00952F49" w14:paraId="0C44E46E" w14:textId="77777777" w:rsidTr="00821ECB">
        <w:tc>
          <w:tcPr>
            <w:tcW w:w="3116" w:type="dxa"/>
            <w:shd w:val="clear" w:color="auto" w:fill="BDD6EE" w:themeFill="accent1" w:themeFillTint="66"/>
          </w:tcPr>
          <w:p w14:paraId="63186446" w14:textId="77777777" w:rsidR="00952F49" w:rsidRDefault="00952F49" w:rsidP="00821ECB">
            <w:r>
              <w:t>CRRSA Funded –</w:t>
            </w:r>
            <w:r w:rsidR="0066493A">
              <w:t xml:space="preserve"> Pending**</w:t>
            </w:r>
          </w:p>
        </w:tc>
        <w:tc>
          <w:tcPr>
            <w:tcW w:w="2790" w:type="dxa"/>
            <w:shd w:val="clear" w:color="auto" w:fill="BDD6EE" w:themeFill="accent1" w:themeFillTint="66"/>
          </w:tcPr>
          <w:p w14:paraId="39CBAD11" w14:textId="77777777" w:rsidR="00952F49" w:rsidRDefault="00952F49" w:rsidP="00821ECB"/>
        </w:tc>
        <w:tc>
          <w:tcPr>
            <w:tcW w:w="2790" w:type="dxa"/>
            <w:shd w:val="clear" w:color="auto" w:fill="BDD6EE" w:themeFill="accent1" w:themeFillTint="66"/>
          </w:tcPr>
          <w:p w14:paraId="55BB44A2" w14:textId="77777777" w:rsidR="00952F49" w:rsidRDefault="00952F49" w:rsidP="00821ECB"/>
        </w:tc>
      </w:tr>
      <w:tr w:rsidR="00952F49" w14:paraId="4CA9D5B1" w14:textId="77777777" w:rsidTr="00E13944">
        <w:tc>
          <w:tcPr>
            <w:tcW w:w="3116" w:type="dxa"/>
          </w:tcPr>
          <w:p w14:paraId="49FC00D0" w14:textId="77777777" w:rsidR="00952F49" w:rsidRPr="008C1B16" w:rsidRDefault="00F265C2" w:rsidP="00E13944">
            <w:pPr>
              <w:rPr>
                <w:highlight w:val="yellow"/>
              </w:rPr>
            </w:pPr>
            <w:r w:rsidRPr="008C1B16">
              <w:rPr>
                <w:highlight w:val="yellow"/>
              </w:rPr>
              <w:t>Expansion</w:t>
            </w:r>
          </w:p>
        </w:tc>
        <w:tc>
          <w:tcPr>
            <w:tcW w:w="2790" w:type="dxa"/>
          </w:tcPr>
          <w:p w14:paraId="63B815E2" w14:textId="77777777" w:rsidR="00952F49" w:rsidRPr="008C1B16" w:rsidRDefault="000C65CD" w:rsidP="00E13944">
            <w:pPr>
              <w:jc w:val="right"/>
              <w:rPr>
                <w:highlight w:val="yellow"/>
              </w:rPr>
            </w:pPr>
            <w:r w:rsidRPr="008C1B16">
              <w:rPr>
                <w:highlight w:val="yellow"/>
              </w:rPr>
              <w:t>17,004,945.19</w:t>
            </w:r>
          </w:p>
        </w:tc>
        <w:tc>
          <w:tcPr>
            <w:tcW w:w="2790" w:type="dxa"/>
          </w:tcPr>
          <w:p w14:paraId="282C75A4" w14:textId="77777777" w:rsidR="00952F49" w:rsidRPr="008C1B16" w:rsidRDefault="00952F49" w:rsidP="00E13944">
            <w:pPr>
              <w:jc w:val="right"/>
              <w:rPr>
                <w:highlight w:val="yellow"/>
              </w:rPr>
            </w:pPr>
            <w:r w:rsidRPr="008C1B16">
              <w:rPr>
                <w:highlight w:val="yellow"/>
              </w:rPr>
              <w:t>9,656,317.53</w:t>
            </w:r>
          </w:p>
        </w:tc>
      </w:tr>
      <w:tr w:rsidR="00952F49" w14:paraId="1587614A" w14:textId="77777777" w:rsidTr="00F04644">
        <w:tc>
          <w:tcPr>
            <w:tcW w:w="3116" w:type="dxa"/>
          </w:tcPr>
          <w:p w14:paraId="2A77BB39" w14:textId="77777777" w:rsidR="00952F49" w:rsidRPr="008C1B16" w:rsidRDefault="00952F49" w:rsidP="00821ECB">
            <w:pPr>
              <w:rPr>
                <w:highlight w:val="yellow"/>
              </w:rPr>
            </w:pPr>
            <w:r w:rsidRPr="008C1B16">
              <w:rPr>
                <w:highlight w:val="yellow"/>
              </w:rPr>
              <w:t>Start</w:t>
            </w:r>
            <w:r w:rsidR="00F265C2" w:rsidRPr="008C1B16">
              <w:rPr>
                <w:highlight w:val="yellow"/>
              </w:rPr>
              <w:t>up</w:t>
            </w:r>
          </w:p>
        </w:tc>
        <w:tc>
          <w:tcPr>
            <w:tcW w:w="2790" w:type="dxa"/>
          </w:tcPr>
          <w:p w14:paraId="4E563DF7" w14:textId="77777777" w:rsidR="00952F49" w:rsidRPr="008C1B16" w:rsidRDefault="00B266B7" w:rsidP="00821ECB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8C1B16">
              <w:rPr>
                <w:rFonts w:ascii="Calibri" w:hAnsi="Calibri" w:cs="Calibri"/>
                <w:color w:val="000000"/>
                <w:highlight w:val="yellow"/>
              </w:rPr>
              <w:t>32,113,331.79</w:t>
            </w:r>
          </w:p>
        </w:tc>
        <w:tc>
          <w:tcPr>
            <w:tcW w:w="2790" w:type="dxa"/>
          </w:tcPr>
          <w:p w14:paraId="5D9418C7" w14:textId="77777777" w:rsidR="00952F49" w:rsidRPr="008C1B16" w:rsidRDefault="00B266B7" w:rsidP="00821ECB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8C1B16">
              <w:rPr>
                <w:rFonts w:ascii="Calibri" w:hAnsi="Calibri" w:cs="Calibri"/>
                <w:color w:val="000000"/>
                <w:highlight w:val="yellow"/>
              </w:rPr>
              <w:t>18,834,083.83</w:t>
            </w:r>
          </w:p>
        </w:tc>
      </w:tr>
      <w:tr w:rsidR="00952F49" w14:paraId="7686C46E" w14:textId="77777777" w:rsidTr="00F04644">
        <w:tc>
          <w:tcPr>
            <w:tcW w:w="3116" w:type="dxa"/>
            <w:shd w:val="clear" w:color="auto" w:fill="BDD6EE" w:themeFill="accent1" w:themeFillTint="66"/>
          </w:tcPr>
          <w:p w14:paraId="05AC02F1" w14:textId="77777777" w:rsidR="00952F49" w:rsidRDefault="00B266B7" w:rsidP="00821ECB">
            <w:r>
              <w:t>ARPA Stabilization Funded – Pending**</w:t>
            </w:r>
            <w:r w:rsidR="0066493A">
              <w:t>**</w:t>
            </w:r>
          </w:p>
        </w:tc>
        <w:tc>
          <w:tcPr>
            <w:tcW w:w="2790" w:type="dxa"/>
            <w:shd w:val="clear" w:color="auto" w:fill="BDD6EE" w:themeFill="accent1" w:themeFillTint="66"/>
          </w:tcPr>
          <w:p w14:paraId="32F98DBA" w14:textId="77777777" w:rsidR="00952F49" w:rsidRDefault="00952F49" w:rsidP="00821ECB">
            <w:pPr>
              <w:jc w:val="right"/>
            </w:pPr>
          </w:p>
        </w:tc>
        <w:tc>
          <w:tcPr>
            <w:tcW w:w="2790" w:type="dxa"/>
            <w:shd w:val="clear" w:color="auto" w:fill="BDD6EE" w:themeFill="accent1" w:themeFillTint="66"/>
          </w:tcPr>
          <w:p w14:paraId="2ABED890" w14:textId="77777777" w:rsidR="00952F49" w:rsidRDefault="00952F49" w:rsidP="00821ECB">
            <w:pPr>
              <w:jc w:val="right"/>
            </w:pPr>
          </w:p>
        </w:tc>
      </w:tr>
      <w:tr w:rsidR="00751EB2" w14:paraId="04B5517E" w14:textId="77777777" w:rsidTr="00F04644">
        <w:tc>
          <w:tcPr>
            <w:tcW w:w="3116" w:type="dxa"/>
          </w:tcPr>
          <w:p w14:paraId="2B2AB20A" w14:textId="77777777" w:rsidR="00751EB2" w:rsidRPr="008C1B16" w:rsidRDefault="00751EB2" w:rsidP="00751EB2">
            <w:pPr>
              <w:rPr>
                <w:highlight w:val="yellow"/>
              </w:rPr>
            </w:pPr>
            <w:r w:rsidRPr="008C1B16">
              <w:rPr>
                <w:highlight w:val="yellow"/>
              </w:rPr>
              <w:t xml:space="preserve">Retention of Staff </w:t>
            </w:r>
          </w:p>
        </w:tc>
        <w:tc>
          <w:tcPr>
            <w:tcW w:w="2790" w:type="dxa"/>
          </w:tcPr>
          <w:p w14:paraId="1FFCE9B3" w14:textId="77777777" w:rsidR="00751EB2" w:rsidRPr="008C1B16" w:rsidRDefault="00751EB2" w:rsidP="00751EB2">
            <w:pPr>
              <w:jc w:val="right"/>
              <w:rPr>
                <w:highlight w:val="yellow"/>
              </w:rPr>
            </w:pPr>
            <w:r w:rsidRPr="008C1B16">
              <w:rPr>
                <w:highlight w:val="yellow"/>
              </w:rPr>
              <w:t>24,207,450.00</w:t>
            </w:r>
          </w:p>
        </w:tc>
        <w:tc>
          <w:tcPr>
            <w:tcW w:w="2790" w:type="dxa"/>
          </w:tcPr>
          <w:p w14:paraId="449E371E" w14:textId="77777777" w:rsidR="00751EB2" w:rsidRPr="008C1B16" w:rsidRDefault="00751EB2" w:rsidP="00751EB2">
            <w:pPr>
              <w:jc w:val="right"/>
              <w:rPr>
                <w:highlight w:val="yellow"/>
              </w:rPr>
            </w:pPr>
            <w:r w:rsidRPr="008C1B16">
              <w:rPr>
                <w:highlight w:val="yellow"/>
              </w:rPr>
              <w:t>24,207,450.00</w:t>
            </w:r>
          </w:p>
        </w:tc>
      </w:tr>
      <w:tr w:rsidR="00751EB2" w14:paraId="345579EE" w14:textId="77777777" w:rsidTr="00F04644">
        <w:tc>
          <w:tcPr>
            <w:tcW w:w="3116" w:type="dxa"/>
          </w:tcPr>
          <w:p w14:paraId="3B040F36" w14:textId="77777777" w:rsidR="00751EB2" w:rsidRPr="008C1B16" w:rsidRDefault="00751EB2" w:rsidP="00751EB2">
            <w:pPr>
              <w:rPr>
                <w:highlight w:val="yellow"/>
              </w:rPr>
            </w:pPr>
            <w:r w:rsidRPr="008C1B16">
              <w:rPr>
                <w:highlight w:val="yellow"/>
              </w:rPr>
              <w:t xml:space="preserve">Paycheck Protection </w:t>
            </w:r>
          </w:p>
        </w:tc>
        <w:tc>
          <w:tcPr>
            <w:tcW w:w="2790" w:type="dxa"/>
          </w:tcPr>
          <w:p w14:paraId="25C86C8D" w14:textId="77777777" w:rsidR="00751EB2" w:rsidRPr="008C1B16" w:rsidRDefault="00751EB2" w:rsidP="00751EB2">
            <w:pPr>
              <w:jc w:val="right"/>
              <w:rPr>
                <w:highlight w:val="yellow"/>
              </w:rPr>
            </w:pPr>
            <w:r w:rsidRPr="008C1B16">
              <w:rPr>
                <w:highlight w:val="yellow"/>
              </w:rPr>
              <w:t>45,153,225.00</w:t>
            </w:r>
          </w:p>
        </w:tc>
        <w:tc>
          <w:tcPr>
            <w:tcW w:w="2790" w:type="dxa"/>
          </w:tcPr>
          <w:p w14:paraId="14F92036" w14:textId="77777777" w:rsidR="00751EB2" w:rsidRPr="008C1B16" w:rsidRDefault="00751EB2" w:rsidP="00751EB2">
            <w:pPr>
              <w:jc w:val="right"/>
              <w:rPr>
                <w:highlight w:val="yellow"/>
              </w:rPr>
            </w:pPr>
            <w:r w:rsidRPr="008C1B16">
              <w:rPr>
                <w:highlight w:val="yellow"/>
              </w:rPr>
              <w:t>45,153,225.00</w:t>
            </w:r>
          </w:p>
        </w:tc>
      </w:tr>
      <w:tr w:rsidR="00751EB2" w14:paraId="078DF85B" w14:textId="77777777" w:rsidTr="00F04644">
        <w:tc>
          <w:tcPr>
            <w:tcW w:w="3116" w:type="dxa"/>
          </w:tcPr>
          <w:p w14:paraId="4E336FC9" w14:textId="77777777" w:rsidR="00751EB2" w:rsidRDefault="00751EB2" w:rsidP="00751EB2">
            <w:r>
              <w:t xml:space="preserve">Sustain Subsidy Ops  </w:t>
            </w:r>
          </w:p>
        </w:tc>
        <w:tc>
          <w:tcPr>
            <w:tcW w:w="2790" w:type="dxa"/>
          </w:tcPr>
          <w:p w14:paraId="26544112" w14:textId="77777777" w:rsidR="00751EB2" w:rsidRDefault="00751EB2" w:rsidP="00751EB2">
            <w:pPr>
              <w:jc w:val="right"/>
            </w:pPr>
            <w:r>
              <w:t>30,209,500.00</w:t>
            </w:r>
          </w:p>
        </w:tc>
        <w:tc>
          <w:tcPr>
            <w:tcW w:w="2790" w:type="dxa"/>
          </w:tcPr>
          <w:p w14:paraId="09511B38" w14:textId="77777777" w:rsidR="00751EB2" w:rsidRDefault="00751EB2" w:rsidP="00751EB2">
            <w:pPr>
              <w:jc w:val="right"/>
            </w:pPr>
            <w:r>
              <w:t>30,209,500.00</w:t>
            </w:r>
          </w:p>
        </w:tc>
      </w:tr>
      <w:tr w:rsidR="00751EB2" w14:paraId="6553FA5B" w14:textId="77777777" w:rsidTr="00F04644">
        <w:tc>
          <w:tcPr>
            <w:tcW w:w="3116" w:type="dxa"/>
          </w:tcPr>
          <w:p w14:paraId="6C7D79B2" w14:textId="77777777" w:rsidR="00751EB2" w:rsidRPr="008C1B16" w:rsidRDefault="00751EB2" w:rsidP="00751EB2">
            <w:pPr>
              <w:rPr>
                <w:highlight w:val="yellow"/>
              </w:rPr>
            </w:pPr>
            <w:r w:rsidRPr="008C1B16">
              <w:rPr>
                <w:highlight w:val="yellow"/>
              </w:rPr>
              <w:t>Annual Training Costs</w:t>
            </w:r>
          </w:p>
        </w:tc>
        <w:tc>
          <w:tcPr>
            <w:tcW w:w="2790" w:type="dxa"/>
          </w:tcPr>
          <w:p w14:paraId="24B29C2C" w14:textId="77777777" w:rsidR="00751EB2" w:rsidRPr="008C1B16" w:rsidRDefault="00751EB2" w:rsidP="00751EB2">
            <w:pPr>
              <w:jc w:val="right"/>
              <w:rPr>
                <w:highlight w:val="yellow"/>
              </w:rPr>
            </w:pPr>
            <w:r w:rsidRPr="008C1B16">
              <w:rPr>
                <w:highlight w:val="yellow"/>
              </w:rPr>
              <w:t>2,110,736.00</w:t>
            </w:r>
          </w:p>
        </w:tc>
        <w:tc>
          <w:tcPr>
            <w:tcW w:w="2790" w:type="dxa"/>
          </w:tcPr>
          <w:p w14:paraId="731E1D39" w14:textId="77777777" w:rsidR="00751EB2" w:rsidRPr="008C1B16" w:rsidRDefault="00751EB2" w:rsidP="00751EB2">
            <w:pPr>
              <w:jc w:val="right"/>
              <w:rPr>
                <w:highlight w:val="yellow"/>
              </w:rPr>
            </w:pPr>
            <w:r w:rsidRPr="008C1B16">
              <w:rPr>
                <w:highlight w:val="yellow"/>
              </w:rPr>
              <w:t>2,110,736.00</w:t>
            </w:r>
          </w:p>
        </w:tc>
      </w:tr>
      <w:tr w:rsidR="00751EB2" w14:paraId="29F50E93" w14:textId="77777777" w:rsidTr="00F04644">
        <w:tc>
          <w:tcPr>
            <w:tcW w:w="3116" w:type="dxa"/>
            <w:shd w:val="clear" w:color="auto" w:fill="BDD6EE" w:themeFill="accent1" w:themeFillTint="66"/>
          </w:tcPr>
          <w:p w14:paraId="61B86F91" w14:textId="77777777" w:rsidR="00751EB2" w:rsidRDefault="00751EB2" w:rsidP="00751EB2">
            <w:r>
              <w:t>ARPA Discretionary Funded – Pending****</w:t>
            </w:r>
          </w:p>
        </w:tc>
        <w:tc>
          <w:tcPr>
            <w:tcW w:w="2790" w:type="dxa"/>
            <w:shd w:val="clear" w:color="auto" w:fill="BDD6EE" w:themeFill="accent1" w:themeFillTint="66"/>
          </w:tcPr>
          <w:p w14:paraId="7B9CE6D6" w14:textId="77777777" w:rsidR="00751EB2" w:rsidRDefault="00751EB2" w:rsidP="00751EB2">
            <w:pPr>
              <w:jc w:val="right"/>
            </w:pPr>
          </w:p>
        </w:tc>
        <w:tc>
          <w:tcPr>
            <w:tcW w:w="2790" w:type="dxa"/>
            <w:shd w:val="clear" w:color="auto" w:fill="BDD6EE" w:themeFill="accent1" w:themeFillTint="66"/>
          </w:tcPr>
          <w:p w14:paraId="4D50A5CA" w14:textId="77777777" w:rsidR="00751EB2" w:rsidRDefault="00751EB2" w:rsidP="00751EB2">
            <w:pPr>
              <w:jc w:val="right"/>
            </w:pPr>
          </w:p>
        </w:tc>
      </w:tr>
      <w:tr w:rsidR="00751EB2" w14:paraId="64BAFA43" w14:textId="77777777" w:rsidTr="00F04644">
        <w:tc>
          <w:tcPr>
            <w:tcW w:w="3116" w:type="dxa"/>
          </w:tcPr>
          <w:p w14:paraId="393CEF3A" w14:textId="77777777" w:rsidR="00751EB2" w:rsidRDefault="00751EB2" w:rsidP="00751EB2">
            <w:r>
              <w:t>Innovation Start up</w:t>
            </w:r>
          </w:p>
        </w:tc>
        <w:tc>
          <w:tcPr>
            <w:tcW w:w="2790" w:type="dxa"/>
          </w:tcPr>
          <w:p w14:paraId="71B24508" w14:textId="77777777" w:rsidR="00751EB2" w:rsidRDefault="00751EB2" w:rsidP="00751EB2">
            <w:pPr>
              <w:jc w:val="right"/>
            </w:pPr>
            <w:r>
              <w:t>Pending</w:t>
            </w:r>
          </w:p>
        </w:tc>
        <w:tc>
          <w:tcPr>
            <w:tcW w:w="2790" w:type="dxa"/>
          </w:tcPr>
          <w:p w14:paraId="5F0F3040" w14:textId="77777777" w:rsidR="00751EB2" w:rsidRDefault="00751EB2" w:rsidP="00751EB2">
            <w:pPr>
              <w:jc w:val="right"/>
            </w:pPr>
            <w:r>
              <w:t>0.00</w:t>
            </w:r>
          </w:p>
        </w:tc>
      </w:tr>
      <w:tr w:rsidR="00751EB2" w14:paraId="16F3DF55" w14:textId="77777777" w:rsidTr="00F04644">
        <w:tc>
          <w:tcPr>
            <w:tcW w:w="3116" w:type="dxa"/>
          </w:tcPr>
          <w:p w14:paraId="741FD592" w14:textId="77777777" w:rsidR="00751EB2" w:rsidRDefault="00751EB2" w:rsidP="00751EB2">
            <w:r>
              <w:t xml:space="preserve">Innovation Expansion </w:t>
            </w:r>
          </w:p>
        </w:tc>
        <w:tc>
          <w:tcPr>
            <w:tcW w:w="2790" w:type="dxa"/>
          </w:tcPr>
          <w:p w14:paraId="04513E33" w14:textId="77777777" w:rsidR="00751EB2" w:rsidRDefault="00751EB2" w:rsidP="00751EB2">
            <w:pPr>
              <w:jc w:val="right"/>
            </w:pPr>
            <w:r>
              <w:t>Pending</w:t>
            </w:r>
          </w:p>
        </w:tc>
        <w:tc>
          <w:tcPr>
            <w:tcW w:w="2790" w:type="dxa"/>
          </w:tcPr>
          <w:p w14:paraId="3BCBDD41" w14:textId="77777777" w:rsidR="00751EB2" w:rsidRDefault="00751EB2" w:rsidP="00751EB2">
            <w:pPr>
              <w:jc w:val="right"/>
            </w:pPr>
            <w:r>
              <w:t>0.00</w:t>
            </w:r>
          </w:p>
        </w:tc>
      </w:tr>
      <w:tr w:rsidR="00751EB2" w14:paraId="41D09ADE" w14:textId="77777777" w:rsidTr="00F04644">
        <w:tc>
          <w:tcPr>
            <w:tcW w:w="3116" w:type="dxa"/>
          </w:tcPr>
          <w:p w14:paraId="24CB75C1" w14:textId="77777777" w:rsidR="00751EB2" w:rsidRDefault="00751EB2" w:rsidP="00751EB2">
            <w:r>
              <w:t xml:space="preserve">Workforce Innovation </w:t>
            </w:r>
          </w:p>
        </w:tc>
        <w:tc>
          <w:tcPr>
            <w:tcW w:w="2790" w:type="dxa"/>
          </w:tcPr>
          <w:p w14:paraId="2C713798" w14:textId="77777777" w:rsidR="00751EB2" w:rsidRDefault="00751EB2" w:rsidP="00751EB2">
            <w:pPr>
              <w:jc w:val="right"/>
            </w:pPr>
            <w:r>
              <w:t>Pending</w:t>
            </w:r>
          </w:p>
        </w:tc>
        <w:tc>
          <w:tcPr>
            <w:tcW w:w="2790" w:type="dxa"/>
          </w:tcPr>
          <w:p w14:paraId="0E6E8AD4" w14:textId="77777777" w:rsidR="00751EB2" w:rsidRDefault="00751EB2" w:rsidP="00751EB2">
            <w:pPr>
              <w:jc w:val="right"/>
            </w:pPr>
            <w:r>
              <w:t>0.00</w:t>
            </w:r>
          </w:p>
        </w:tc>
      </w:tr>
      <w:tr w:rsidR="00751EB2" w14:paraId="49B51627" w14:textId="77777777" w:rsidTr="00F04644">
        <w:tc>
          <w:tcPr>
            <w:tcW w:w="3116" w:type="dxa"/>
          </w:tcPr>
          <w:p w14:paraId="7AD204CC" w14:textId="77777777" w:rsidR="00751EB2" w:rsidRDefault="00751EB2" w:rsidP="00751EB2">
            <w:r>
              <w:t xml:space="preserve">Startup – Small Business </w:t>
            </w:r>
          </w:p>
        </w:tc>
        <w:tc>
          <w:tcPr>
            <w:tcW w:w="2790" w:type="dxa"/>
          </w:tcPr>
          <w:p w14:paraId="660EF141" w14:textId="77777777" w:rsidR="00751EB2" w:rsidRDefault="00751EB2" w:rsidP="00751E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638,750.00</w:t>
            </w:r>
          </w:p>
        </w:tc>
        <w:tc>
          <w:tcPr>
            <w:tcW w:w="2790" w:type="dxa"/>
          </w:tcPr>
          <w:p w14:paraId="664A4139" w14:textId="77777777" w:rsidR="00751EB2" w:rsidRPr="00143235" w:rsidRDefault="00751EB2" w:rsidP="00751E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218,750.00</w:t>
            </w:r>
          </w:p>
        </w:tc>
      </w:tr>
      <w:tr w:rsidR="00751EB2" w14:paraId="57014078" w14:textId="77777777" w:rsidTr="00F04644">
        <w:tc>
          <w:tcPr>
            <w:tcW w:w="3116" w:type="dxa"/>
          </w:tcPr>
          <w:p w14:paraId="431FA5F7" w14:textId="77777777" w:rsidR="00751EB2" w:rsidRDefault="00751EB2" w:rsidP="00751EB2">
            <w:r>
              <w:t xml:space="preserve">Startup – Essential Workers </w:t>
            </w:r>
          </w:p>
        </w:tc>
        <w:tc>
          <w:tcPr>
            <w:tcW w:w="2790" w:type="dxa"/>
          </w:tcPr>
          <w:p w14:paraId="302EDFBB" w14:textId="77777777" w:rsidR="00751EB2" w:rsidRDefault="00751EB2" w:rsidP="00751E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1,466,750.00</w:t>
            </w:r>
          </w:p>
        </w:tc>
        <w:tc>
          <w:tcPr>
            <w:tcW w:w="2790" w:type="dxa"/>
          </w:tcPr>
          <w:p w14:paraId="1149CB19" w14:textId="77777777" w:rsidR="00751EB2" w:rsidRDefault="00751EB2" w:rsidP="00751EB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465,312.50</w:t>
            </w:r>
          </w:p>
        </w:tc>
      </w:tr>
    </w:tbl>
    <w:p w14:paraId="661312E2" w14:textId="77777777" w:rsidR="00952F49" w:rsidRDefault="00B266B7">
      <w:r>
        <w:t xml:space="preserve">*Applications are closed, all providers approved, and no more funds to be dispersed. </w:t>
      </w:r>
      <w:r w:rsidR="00751EB2">
        <w:t>The total amount for Paycheck Protection includes</w:t>
      </w:r>
      <w:r w:rsidR="0066493A">
        <w:t xml:space="preserve"> $9,545,179.00 in child care </w:t>
      </w:r>
      <w:r w:rsidR="00751EB2">
        <w:t>CARES funds and the remaining amount is</w:t>
      </w:r>
      <w:r w:rsidR="0066493A">
        <w:t xml:space="preserve"> CRRSA funds.</w:t>
      </w:r>
    </w:p>
    <w:p w14:paraId="04C85966" w14:textId="77777777" w:rsidR="00B266B7" w:rsidRDefault="0066493A">
      <w:r>
        <w:t>**</w:t>
      </w:r>
      <w:r w:rsidR="00B93C3A">
        <w:t>A</w:t>
      </w:r>
      <w:r>
        <w:t>pplications are clo</w:t>
      </w:r>
      <w:r w:rsidR="00751EB2">
        <w:t>sed, all providers approved; however,</w:t>
      </w:r>
      <w:r>
        <w:t xml:space="preserve"> f</w:t>
      </w:r>
      <w:r w:rsidR="00B266B7">
        <w:t xml:space="preserve">unds will continue to </w:t>
      </w:r>
      <w:r w:rsidR="00751EB2">
        <w:t xml:space="preserve">be dispersed until August 2023 so </w:t>
      </w:r>
      <w:r w:rsidR="00B93C3A">
        <w:t xml:space="preserve">the total amount paid is as of 4/14/23. </w:t>
      </w:r>
      <w:r w:rsidR="00751EB2">
        <w:t xml:space="preserve"> </w:t>
      </w:r>
    </w:p>
    <w:p w14:paraId="151A43BF" w14:textId="77777777" w:rsidR="00B266B7" w:rsidRDefault="0066493A">
      <w:r>
        <w:t>***Applications will be open for providers to apply</w:t>
      </w:r>
      <w:r w:rsidR="00751EB2">
        <w:t xml:space="preserve"> until August 2023. While some have been approved, the</w:t>
      </w:r>
      <w:r>
        <w:t xml:space="preserve"> total amount awarded/approved is the same amount as paid at this time, due to the total funds approved/awarded will not be known until the application period closes. </w:t>
      </w:r>
    </w:p>
    <w:p w14:paraId="2BA5B7E0" w14:textId="77777777" w:rsidR="0066493A" w:rsidRDefault="0066493A">
      <w:r>
        <w:t xml:space="preserve">****Applications </w:t>
      </w:r>
      <w:r w:rsidR="00751EB2">
        <w:t>marked as “pending” are still open for providers to apply until July 2023 and no funds have been dispersed yet. Applications with awarded amounts are closed, all providers approved; however, funds will continue to be dispersed</w:t>
      </w:r>
      <w:r w:rsidR="00B93C3A">
        <w:t xml:space="preserve"> until June 2024 so the</w:t>
      </w:r>
      <w:r w:rsidR="006D6322">
        <w:t xml:space="preserve"> total amount paid is as of 4/14</w:t>
      </w:r>
      <w:r w:rsidR="00B93C3A">
        <w:t xml:space="preserve">/23. </w:t>
      </w:r>
    </w:p>
    <w:sectPr w:rsidR="0066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49"/>
    <w:rsid w:val="000C65CD"/>
    <w:rsid w:val="0066493A"/>
    <w:rsid w:val="006A565F"/>
    <w:rsid w:val="006D6322"/>
    <w:rsid w:val="00751EB2"/>
    <w:rsid w:val="007719CC"/>
    <w:rsid w:val="008C1B16"/>
    <w:rsid w:val="008D0F2C"/>
    <w:rsid w:val="00952F49"/>
    <w:rsid w:val="00B266B7"/>
    <w:rsid w:val="00B93C3A"/>
    <w:rsid w:val="00DF6607"/>
    <w:rsid w:val="00F2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6DF4"/>
  <w15:chartTrackingRefBased/>
  <w15:docId w15:val="{9DFD6FA7-C38D-4C2D-9D54-0E55665C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F49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52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6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Missouri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Pam</dc:creator>
  <cp:keywords/>
  <dc:description/>
  <cp:lastModifiedBy>Dillon Bergin</cp:lastModifiedBy>
  <cp:revision>5</cp:revision>
  <cp:lastPrinted>2023-04-17T21:17:00Z</cp:lastPrinted>
  <dcterms:created xsi:type="dcterms:W3CDTF">2023-04-17T18:30:00Z</dcterms:created>
  <dcterms:modified xsi:type="dcterms:W3CDTF">2023-04-19T20:26:00Z</dcterms:modified>
</cp:coreProperties>
</file>