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61BC4" w14:textId="4AB25A75" w:rsidR="007F67E0" w:rsidRDefault="007F67E0" w:rsidP="00A147FA">
      <w:pPr>
        <w:pStyle w:val="Heading2"/>
      </w:pPr>
      <w:bookmarkStart w:id="0" w:name="_Toc183390759"/>
      <w:r w:rsidRPr="007F67E0">
        <w:t>Executive Summary</w:t>
      </w:r>
      <w:bookmarkEnd w:id="0"/>
    </w:p>
    <w:p w14:paraId="51EDF130" w14:textId="5C9F2819" w:rsidR="00C85042" w:rsidRDefault="00C85042" w:rsidP="00C85042">
      <w:r w:rsidRPr="00C85042">
        <w:t>This project implements a comprehensive data warehouse solution to analyze the relationships between major economic indicators and market performance</w:t>
      </w:r>
      <w:r w:rsidR="005509A0">
        <w:t xml:space="preserve">. </w:t>
      </w:r>
      <w:r w:rsidRPr="00C85042">
        <w:t>Through dimensional modeling and advanced analytics, we explore the intricate connections between GDP, S&amp;P 500, housing prices, and other key economic metrics.</w:t>
      </w:r>
    </w:p>
    <w:p w14:paraId="5B2E2620" w14:textId="0FBBEEAD" w:rsidR="00C85042" w:rsidRPr="007F67E0" w:rsidRDefault="00C85042" w:rsidP="00C85042">
      <w:r w:rsidRPr="00C85042">
        <w:t>This analysis provides valuable insights for investment strategies, risk management, and policy considerations, demonstrating the power of structured data analysis in understanding complex economic relationships.</w:t>
      </w:r>
    </w:p>
    <w:p w14:paraId="127E27C9" w14:textId="7F24ABA9" w:rsidR="007F67E0" w:rsidRDefault="007F67E0" w:rsidP="00A147FA">
      <w:pPr>
        <w:pStyle w:val="Heading2"/>
      </w:pPr>
      <w:bookmarkStart w:id="1" w:name="_Toc183390760"/>
      <w:r w:rsidRPr="007F67E0">
        <w:t>Problem Statement</w:t>
      </w:r>
      <w:bookmarkEnd w:id="1"/>
    </w:p>
    <w:p w14:paraId="30320439" w14:textId="77777777" w:rsidR="009F0B83" w:rsidRPr="009F0B83" w:rsidRDefault="009F0B83" w:rsidP="009F0B83">
      <w:r w:rsidRPr="009F0B83">
        <w:t>In an increasingly complex financial landscape, investors and policymakers face the challenge of understanding the intricate relationships between macroeconomic indicators (GDP, housing prices) and financial market performance (S&amp;P 500). The ability to analyze these relationships is crucial for making informed investment decisions and policy recommendations, particularly given the historical patterns of market volatility and economic cycles from 1974-2013. This project addresses the critical need to understand how different economic sectors interact and influence each other over time, with a specific focus on:</w:t>
      </w:r>
    </w:p>
    <w:p w14:paraId="09D8CA63" w14:textId="076E9874" w:rsidR="009F0B83" w:rsidRPr="009F0B83" w:rsidRDefault="009F0B83" w:rsidP="00FA42C0">
      <w:pPr>
        <w:numPr>
          <w:ilvl w:val="0"/>
          <w:numId w:val="3"/>
        </w:numPr>
      </w:pPr>
      <w:r w:rsidRPr="009F0B83">
        <w:t>The correlation between GDP and S&amp;P 500 performance, which impacts investment strategies and economic forecasting</w:t>
      </w:r>
    </w:p>
    <w:p w14:paraId="5CD8FCF9" w14:textId="57A68680" w:rsidR="009F0B83" w:rsidRPr="009F0B83" w:rsidRDefault="009F0B83" w:rsidP="00FA42C0">
      <w:pPr>
        <w:numPr>
          <w:ilvl w:val="0"/>
          <w:numId w:val="3"/>
        </w:numPr>
      </w:pPr>
      <w:r w:rsidRPr="009F0B83">
        <w:t xml:space="preserve">The housing market's relationship with </w:t>
      </w:r>
      <w:r w:rsidR="0011085D">
        <w:t>financial</w:t>
      </w:r>
      <w:r w:rsidR="00761F6B">
        <w:t xml:space="preserve"> performance</w:t>
      </w:r>
      <w:r w:rsidRPr="009F0B83">
        <w:t>, particularly relevant given the significant market events like the 2008 financial crisis visible in your data</w:t>
      </w:r>
    </w:p>
    <w:p w14:paraId="0B6DC177" w14:textId="77777777" w:rsidR="009F0B83" w:rsidRPr="009F0B83" w:rsidRDefault="009F0B83" w:rsidP="00FA42C0">
      <w:pPr>
        <w:numPr>
          <w:ilvl w:val="0"/>
          <w:numId w:val="3"/>
        </w:numPr>
      </w:pPr>
      <w:r w:rsidRPr="009F0B83">
        <w:t>The interplay between multiple economic indicators (GDP, CPI, unemployment rate) and their combined effect on market performance</w:t>
      </w:r>
    </w:p>
    <w:p w14:paraId="0CA3A004" w14:textId="77777777" w:rsidR="009F0B83" w:rsidRPr="009F0B83" w:rsidRDefault="009F0B83" w:rsidP="00E126D5">
      <w:pPr>
        <w:pStyle w:val="Heading3"/>
      </w:pPr>
      <w:bookmarkStart w:id="2" w:name="_Toc183390761"/>
      <w:r w:rsidRPr="009F0B83">
        <w:t>Significance:</w:t>
      </w:r>
      <w:bookmarkEnd w:id="2"/>
    </w:p>
    <w:p w14:paraId="7C3E6C40" w14:textId="77777777" w:rsidR="009F0B83" w:rsidRPr="009F0B83" w:rsidRDefault="009F0B83" w:rsidP="00FA42C0">
      <w:pPr>
        <w:numPr>
          <w:ilvl w:val="0"/>
          <w:numId w:val="4"/>
        </w:numPr>
      </w:pPr>
      <w:r w:rsidRPr="009F0B83">
        <w:t>Investment Decision Making: The analysis provides crucial insights for portfolio management and risk assessment by revealing historical patterns and correlations between economic indicators and market performance.</w:t>
      </w:r>
    </w:p>
    <w:p w14:paraId="01CBD94D" w14:textId="77777777" w:rsidR="009F0B83" w:rsidRPr="009F0B83" w:rsidRDefault="009F0B83" w:rsidP="00FA42C0">
      <w:pPr>
        <w:numPr>
          <w:ilvl w:val="0"/>
          <w:numId w:val="4"/>
        </w:numPr>
      </w:pPr>
      <w:r w:rsidRPr="009F0B83">
        <w:t>Economic Policy: Understanding these relationships helps policymakers anticipate the potential impact of economic changes on different sectors.</w:t>
      </w:r>
    </w:p>
    <w:p w14:paraId="045C10CE" w14:textId="2B556102" w:rsidR="009F0B83" w:rsidRPr="009F0B83" w:rsidRDefault="009F0B83" w:rsidP="00FA42C0">
      <w:pPr>
        <w:numPr>
          <w:ilvl w:val="0"/>
          <w:numId w:val="4"/>
        </w:numPr>
      </w:pPr>
      <w:r w:rsidRPr="009F0B83">
        <w:t>Risk Management: The historical analysis spanning multiple decades captures various economic cycles and crises, offering valuable insights for future risk assessment.</w:t>
      </w:r>
    </w:p>
    <w:p w14:paraId="5AFD5A4C" w14:textId="77777777" w:rsidR="009F0B83" w:rsidRPr="009F0B83" w:rsidRDefault="009F0B83" w:rsidP="00FA42C0">
      <w:pPr>
        <w:numPr>
          <w:ilvl w:val="0"/>
          <w:numId w:val="4"/>
        </w:numPr>
      </w:pPr>
      <w:r w:rsidRPr="009F0B83">
        <w:t>Market Efficiency: The project contributes to understanding how quickly and effectively markets integrate macroeconomic information, which is essential for both institutional and retail investors.</w:t>
      </w:r>
    </w:p>
    <w:p w14:paraId="3509AF82" w14:textId="20E8F86D" w:rsidR="007F67E0" w:rsidRDefault="009F0B83" w:rsidP="00623F83">
      <w:r w:rsidRPr="009F0B83">
        <w:t>Through dimensional modeling and OLAP analysis, this project creates a comprehensive framework for analyzing these complex relationships, enabling more informed decision-making in both financial markets and policy development.</w:t>
      </w:r>
    </w:p>
    <w:p w14:paraId="5DB4D233" w14:textId="77777777" w:rsidR="007F67E0" w:rsidRPr="007F67E0" w:rsidRDefault="007F67E0" w:rsidP="00E126D5">
      <w:pPr>
        <w:pStyle w:val="Heading2"/>
      </w:pPr>
      <w:bookmarkStart w:id="3" w:name="_Toc183390763"/>
      <w:r w:rsidRPr="007F67E0">
        <w:lastRenderedPageBreak/>
        <w:t>Data Collection and Preparation</w:t>
      </w:r>
      <w:bookmarkEnd w:id="3"/>
    </w:p>
    <w:p w14:paraId="2CBD32D7" w14:textId="793ACFA3" w:rsidR="009D2302" w:rsidRPr="009D2302" w:rsidRDefault="009D2302" w:rsidP="009D2302">
      <w:r w:rsidRPr="009D2302">
        <w:t xml:space="preserve">The data for this analysis was sourced from the Federal Reserve Economic Data (FRED) database, </w:t>
      </w:r>
      <w:r w:rsidR="009E50EB">
        <w:t>The data had</w:t>
      </w:r>
      <w:r w:rsidRPr="009D2302">
        <w:t xml:space="preserve"> varying granularities across different economic indicators</w:t>
      </w:r>
      <w:r w:rsidR="009E50EB">
        <w:t>.</w:t>
      </w:r>
    </w:p>
    <w:p w14:paraId="71543280" w14:textId="77777777" w:rsidR="009D2302" w:rsidRPr="009D2302" w:rsidRDefault="009D2302" w:rsidP="00E126D5">
      <w:pPr>
        <w:pStyle w:val="Heading5"/>
      </w:pPr>
      <w:bookmarkStart w:id="4" w:name="_Toc183390764"/>
      <w:r w:rsidRPr="009D2302">
        <w:t>Source Data Overview:</w:t>
      </w:r>
      <w:bookmarkEnd w:id="4"/>
    </w:p>
    <w:p w14:paraId="462254E2" w14:textId="77777777" w:rsidR="009D2302" w:rsidRPr="009D2302" w:rsidRDefault="009D2302" w:rsidP="00FA42C0">
      <w:pPr>
        <w:numPr>
          <w:ilvl w:val="0"/>
          <w:numId w:val="6"/>
        </w:numPr>
      </w:pPr>
      <w:r w:rsidRPr="009D2302">
        <w:t>S&amp;P 500 Index: Daily frequency trading data including open, high, low, close, volume, and adjusted close prices</w:t>
      </w:r>
    </w:p>
    <w:p w14:paraId="2E1F29A9" w14:textId="77777777" w:rsidR="009D2302" w:rsidRPr="009D2302" w:rsidRDefault="009D2302" w:rsidP="00FA42C0">
      <w:pPr>
        <w:numPr>
          <w:ilvl w:val="0"/>
          <w:numId w:val="6"/>
        </w:numPr>
      </w:pPr>
      <w:r w:rsidRPr="009D2302">
        <w:t>GDP: Quarterly economic output measurements</w:t>
      </w:r>
    </w:p>
    <w:p w14:paraId="7C8DFDC6" w14:textId="77777777" w:rsidR="009D2302" w:rsidRPr="009D2302" w:rsidRDefault="009D2302" w:rsidP="00FA42C0">
      <w:pPr>
        <w:numPr>
          <w:ilvl w:val="0"/>
          <w:numId w:val="6"/>
        </w:numPr>
      </w:pPr>
      <w:r w:rsidRPr="009D2302">
        <w:t>House Price Index: Quarterly measurements of housing market trends</w:t>
      </w:r>
    </w:p>
    <w:p w14:paraId="6E4D9CC6" w14:textId="77777777" w:rsidR="009D2302" w:rsidRPr="009D2302" w:rsidRDefault="009D2302" w:rsidP="00FA42C0">
      <w:pPr>
        <w:numPr>
          <w:ilvl w:val="0"/>
          <w:numId w:val="6"/>
        </w:numPr>
      </w:pPr>
      <w:r w:rsidRPr="009D2302">
        <w:t>CPI (Consumer Price Index): Monthly inflation indicator</w:t>
      </w:r>
    </w:p>
    <w:p w14:paraId="32843DE9" w14:textId="77777777" w:rsidR="009D2302" w:rsidRPr="009D2302" w:rsidRDefault="009D2302" w:rsidP="00FA42C0">
      <w:pPr>
        <w:numPr>
          <w:ilvl w:val="0"/>
          <w:numId w:val="6"/>
        </w:numPr>
      </w:pPr>
      <w:r w:rsidRPr="009D2302">
        <w:t>Unemployment Rate: Monthly labor market statistics</w:t>
      </w:r>
    </w:p>
    <w:p w14:paraId="5AB5CA22" w14:textId="77777777" w:rsidR="00E126D5" w:rsidRDefault="009D2302" w:rsidP="00E126D5">
      <w:pPr>
        <w:pStyle w:val="Heading5"/>
      </w:pPr>
      <w:bookmarkStart w:id="5" w:name="_Toc183390765"/>
      <w:r w:rsidRPr="009D2302">
        <w:t>Granularity Harmonization:</w:t>
      </w:r>
      <w:bookmarkEnd w:id="5"/>
      <w:r w:rsidRPr="009D2302">
        <w:t xml:space="preserve"> </w:t>
      </w:r>
    </w:p>
    <w:p w14:paraId="1647CF5E" w14:textId="5BA4C210" w:rsidR="009D2302" w:rsidRPr="009D2302" w:rsidRDefault="009D2302" w:rsidP="00E126D5">
      <w:pPr>
        <w:pStyle w:val="ListParagraph"/>
        <w:numPr>
          <w:ilvl w:val="0"/>
          <w:numId w:val="64"/>
        </w:numPr>
      </w:pPr>
      <w:r w:rsidRPr="009D2302">
        <w:t>To create a cohesive analytical framework, data granularity was standardized through:</w:t>
      </w:r>
    </w:p>
    <w:p w14:paraId="5BEAF3B5" w14:textId="275C0D05" w:rsidR="009D2302" w:rsidRPr="009D2302" w:rsidRDefault="009D2302" w:rsidP="00FA42C0">
      <w:pPr>
        <w:numPr>
          <w:ilvl w:val="0"/>
          <w:numId w:val="8"/>
        </w:numPr>
      </w:pPr>
      <w:r w:rsidRPr="009D2302">
        <w:t>Aggregation of daily S&amp;P 500 data to monthly and quarterly levels using averaging techniques</w:t>
      </w:r>
      <w:r w:rsidR="009403BC">
        <w:t xml:space="preserve"> when needed.</w:t>
      </w:r>
    </w:p>
    <w:p w14:paraId="5F94472F" w14:textId="116C48B1" w:rsidR="009D2302" w:rsidRPr="009D2302" w:rsidRDefault="009D2302" w:rsidP="00FA42C0">
      <w:pPr>
        <w:numPr>
          <w:ilvl w:val="0"/>
          <w:numId w:val="8"/>
        </w:numPr>
      </w:pPr>
      <w:r w:rsidRPr="009D2302">
        <w:t>Alignment of monthly CPI and unemployment data with quarterly GDP and housing data through appropriate temporal aggregation</w:t>
      </w:r>
      <w:r w:rsidR="009403BC">
        <w:t>.</w:t>
      </w:r>
    </w:p>
    <w:p w14:paraId="43D8EFF2" w14:textId="77777777" w:rsidR="00E126D5" w:rsidRDefault="009D2302" w:rsidP="00E126D5">
      <w:pPr>
        <w:numPr>
          <w:ilvl w:val="0"/>
          <w:numId w:val="8"/>
        </w:numPr>
      </w:pPr>
      <w:r w:rsidRPr="009D2302">
        <w:t>Creation of a unified date dimension (DW110.JULIAN_DAYS) to support various time-based analyses</w:t>
      </w:r>
      <w:r w:rsidR="009403BC">
        <w:t>.</w:t>
      </w:r>
    </w:p>
    <w:p w14:paraId="3129568A" w14:textId="63295619" w:rsidR="00E126D5" w:rsidRPr="00E126D5" w:rsidRDefault="001D2E4F" w:rsidP="00E126D5">
      <w:pPr>
        <w:pStyle w:val="Heading5"/>
      </w:pPr>
      <w:bookmarkStart w:id="6" w:name="_Toc183390766"/>
      <w:r w:rsidRPr="00E126D5">
        <w:t>Julian day Integration:</w:t>
      </w:r>
      <w:bookmarkEnd w:id="6"/>
    </w:p>
    <w:p w14:paraId="1A5B6993" w14:textId="19F44136" w:rsidR="00182DA8" w:rsidRDefault="001D2E4F" w:rsidP="00E126D5">
      <w:pPr>
        <w:pStyle w:val="ListParagraph"/>
        <w:numPr>
          <w:ilvl w:val="0"/>
          <w:numId w:val="64"/>
        </w:numPr>
      </w:pPr>
      <w:r>
        <w:t xml:space="preserve">Julian day was added to all fact tables and the data was updated through </w:t>
      </w:r>
      <w:r w:rsidR="00624146" w:rsidRPr="00624146">
        <w:t>Transformed existing date values into corresponding Julian day numbers</w:t>
      </w:r>
      <w:r w:rsidR="00624146">
        <w:t>.</w:t>
      </w:r>
    </w:p>
    <w:p w14:paraId="68493747" w14:textId="77777777" w:rsidR="00624146" w:rsidRPr="007F67E0" w:rsidRDefault="00624146" w:rsidP="00E126D5">
      <w:pPr>
        <w:pStyle w:val="ListParagraph"/>
      </w:pPr>
    </w:p>
    <w:p w14:paraId="7E7BDD2A" w14:textId="2CF5A599" w:rsidR="00D42571" w:rsidRPr="00D42571" w:rsidRDefault="007F67E0" w:rsidP="00E126D5">
      <w:pPr>
        <w:pStyle w:val="Heading2"/>
      </w:pPr>
      <w:bookmarkStart w:id="7" w:name="_Toc183390767"/>
      <w:r w:rsidRPr="007F67E0">
        <w:t>Database Design</w:t>
      </w:r>
      <w:bookmarkEnd w:id="7"/>
    </w:p>
    <w:p w14:paraId="7014111B" w14:textId="729591F2" w:rsidR="00D42571" w:rsidRPr="00D42571" w:rsidRDefault="00D42571" w:rsidP="00E126D5">
      <w:pPr>
        <w:pStyle w:val="Heading3"/>
      </w:pPr>
      <w:bookmarkStart w:id="8" w:name="_Toc183390768"/>
      <w:r w:rsidRPr="00D42571">
        <w:t>OLAP Implementation</w:t>
      </w:r>
      <w:bookmarkEnd w:id="8"/>
    </w:p>
    <w:p w14:paraId="4CE12EAC" w14:textId="77777777" w:rsidR="00D42571" w:rsidRPr="00D42571" w:rsidRDefault="00D42571" w:rsidP="00D42571">
      <w:r w:rsidRPr="00D42571">
        <w:t>The data warehouse follows a star schema design optimized for OLAP operations, with one shared time dimension and three fact tables supporting different analytical perspectives.</w:t>
      </w:r>
    </w:p>
    <w:p w14:paraId="75C84BAE" w14:textId="77777777" w:rsidR="00D42571" w:rsidRPr="00E126D5" w:rsidRDefault="00D42571" w:rsidP="00E126D5">
      <w:pPr>
        <w:pStyle w:val="ListParagraph"/>
        <w:numPr>
          <w:ilvl w:val="0"/>
          <w:numId w:val="65"/>
        </w:numPr>
        <w:rPr>
          <w:b/>
          <w:bCs/>
        </w:rPr>
      </w:pPr>
      <w:r w:rsidRPr="00E126D5">
        <w:rPr>
          <w:b/>
          <w:bCs/>
        </w:rPr>
        <w:t>Dimensional Model Architecture</w:t>
      </w:r>
    </w:p>
    <w:p w14:paraId="200C5231" w14:textId="77777777" w:rsidR="00D42571" w:rsidRPr="00D42571" w:rsidRDefault="00D42571" w:rsidP="00E126D5">
      <w:pPr>
        <w:ind w:firstLine="360"/>
      </w:pPr>
      <w:r w:rsidRPr="00D42571">
        <w:t>Time Dimension (DW110.JULIAN_DAYS):</w:t>
      </w:r>
    </w:p>
    <w:p w14:paraId="13B9DE92" w14:textId="77777777" w:rsidR="00D42571" w:rsidRPr="00D42571" w:rsidRDefault="00D42571" w:rsidP="00FA42C0">
      <w:pPr>
        <w:numPr>
          <w:ilvl w:val="0"/>
          <w:numId w:val="10"/>
        </w:numPr>
      </w:pPr>
      <w:r w:rsidRPr="00D42571">
        <w:t>Serves as the central dimension table connecting all fact tables</w:t>
      </w:r>
    </w:p>
    <w:p w14:paraId="5C9C466D" w14:textId="77777777" w:rsidR="00D42571" w:rsidRPr="00D42571" w:rsidRDefault="00D42571" w:rsidP="00FA42C0">
      <w:pPr>
        <w:numPr>
          <w:ilvl w:val="0"/>
          <w:numId w:val="10"/>
        </w:numPr>
      </w:pPr>
      <w:r w:rsidRPr="00D42571">
        <w:t xml:space="preserve">Implements a comprehensive date hierarchy with multiple grain levels: </w:t>
      </w:r>
    </w:p>
    <w:p w14:paraId="7246B70F" w14:textId="084C2063" w:rsidR="00D42571" w:rsidRPr="00D42571" w:rsidRDefault="00D42571" w:rsidP="00FA42C0">
      <w:pPr>
        <w:numPr>
          <w:ilvl w:val="1"/>
          <w:numId w:val="10"/>
        </w:numPr>
      </w:pPr>
      <w:r w:rsidRPr="00D42571">
        <w:t>Day level</w:t>
      </w:r>
    </w:p>
    <w:p w14:paraId="1DE9B722" w14:textId="5CAC6C44" w:rsidR="00D42571" w:rsidRPr="00D42571" w:rsidRDefault="00D42571" w:rsidP="00FA42C0">
      <w:pPr>
        <w:numPr>
          <w:ilvl w:val="1"/>
          <w:numId w:val="10"/>
        </w:numPr>
      </w:pPr>
      <w:r w:rsidRPr="00D42571">
        <w:t>Month level</w:t>
      </w:r>
    </w:p>
    <w:p w14:paraId="2A23506B" w14:textId="5DC25FA4" w:rsidR="00D42571" w:rsidRDefault="00D42571" w:rsidP="00FA42C0">
      <w:pPr>
        <w:numPr>
          <w:ilvl w:val="1"/>
          <w:numId w:val="10"/>
        </w:numPr>
      </w:pPr>
      <w:r w:rsidRPr="00D42571">
        <w:lastRenderedPageBreak/>
        <w:t>Quarter level</w:t>
      </w:r>
    </w:p>
    <w:p w14:paraId="50239F0C" w14:textId="244C2A64" w:rsidR="00D15ACF" w:rsidRPr="00D42571" w:rsidRDefault="00D42571" w:rsidP="00FA42C0">
      <w:pPr>
        <w:numPr>
          <w:ilvl w:val="1"/>
          <w:numId w:val="10"/>
        </w:numPr>
      </w:pPr>
      <w:r>
        <w:t>Year Level</w:t>
      </w:r>
    </w:p>
    <w:p w14:paraId="16329F56" w14:textId="77777777" w:rsidR="00D42571" w:rsidRPr="00D42571" w:rsidRDefault="00D42571" w:rsidP="00FA42C0">
      <w:pPr>
        <w:numPr>
          <w:ilvl w:val="0"/>
          <w:numId w:val="10"/>
        </w:numPr>
      </w:pPr>
      <w:r w:rsidRPr="00D42571">
        <w:t>Supports drill-down and roll-up operations across different time granularities</w:t>
      </w:r>
    </w:p>
    <w:p w14:paraId="2F1757B2" w14:textId="6404FA5E" w:rsidR="00D42571" w:rsidRPr="00D42571" w:rsidRDefault="00D42571" w:rsidP="00FA42C0">
      <w:pPr>
        <w:numPr>
          <w:ilvl w:val="0"/>
          <w:numId w:val="10"/>
        </w:numPr>
      </w:pPr>
      <w:r w:rsidRPr="00D42571">
        <w:t>Uses surrogate keys (JULIAN_DAY)</w:t>
      </w:r>
      <w:r w:rsidR="00D15ACF">
        <w:t xml:space="preserve"> as PK</w:t>
      </w:r>
      <w:r w:rsidRPr="00D42571">
        <w:t xml:space="preserve"> to optimize join performance</w:t>
      </w:r>
    </w:p>
    <w:p w14:paraId="6F9F0D19" w14:textId="77777777" w:rsidR="00E126D5" w:rsidRDefault="00E126D5" w:rsidP="00D42571"/>
    <w:p w14:paraId="2D8C1D02" w14:textId="5942B823" w:rsidR="00D42571" w:rsidRPr="00D42571" w:rsidRDefault="00D42571" w:rsidP="00D42571">
      <w:r w:rsidRPr="00D42571">
        <w:t>Fact Tables:</w:t>
      </w:r>
    </w:p>
    <w:p w14:paraId="7341AB4B" w14:textId="77777777" w:rsidR="00D42571" w:rsidRPr="00D42571" w:rsidRDefault="00D42571" w:rsidP="00FA42C0">
      <w:pPr>
        <w:numPr>
          <w:ilvl w:val="0"/>
          <w:numId w:val="11"/>
        </w:numPr>
      </w:pPr>
      <w:r w:rsidRPr="00D42571">
        <w:t xml:space="preserve">SP500_INDEX_EOD_FACTS: </w:t>
      </w:r>
    </w:p>
    <w:p w14:paraId="395546B8" w14:textId="77777777" w:rsidR="00D42571" w:rsidRPr="00D42571" w:rsidRDefault="00D42571" w:rsidP="00FA42C0">
      <w:pPr>
        <w:numPr>
          <w:ilvl w:val="1"/>
          <w:numId w:val="11"/>
        </w:numPr>
      </w:pPr>
      <w:r w:rsidRPr="00D42571">
        <w:t>Grain: Daily stock market data</w:t>
      </w:r>
    </w:p>
    <w:p w14:paraId="1786DF08" w14:textId="77777777" w:rsidR="00D42571" w:rsidRDefault="00D42571" w:rsidP="00FA42C0">
      <w:pPr>
        <w:numPr>
          <w:ilvl w:val="1"/>
          <w:numId w:val="11"/>
        </w:numPr>
      </w:pPr>
      <w:r w:rsidRPr="00D42571">
        <w:t>Measures: OPEN, HIGH, LOW, CLOSE, VOLUME, ADJUSTED_CLOSE</w:t>
      </w:r>
    </w:p>
    <w:p w14:paraId="3BC23AB3" w14:textId="45805172" w:rsidR="003D5A85" w:rsidRPr="00D42571" w:rsidRDefault="003D5A85" w:rsidP="00FA42C0">
      <w:pPr>
        <w:numPr>
          <w:ilvl w:val="1"/>
          <w:numId w:val="11"/>
        </w:numPr>
      </w:pPr>
      <w:r w:rsidRPr="003D5A85">
        <w:t>Foreign Key: JULIAN_DAY links to dimension table</w:t>
      </w:r>
    </w:p>
    <w:p w14:paraId="6DAE70EF" w14:textId="77777777" w:rsidR="00D42571" w:rsidRPr="00D42571" w:rsidRDefault="00D42571" w:rsidP="00FA42C0">
      <w:pPr>
        <w:numPr>
          <w:ilvl w:val="0"/>
          <w:numId w:val="11"/>
        </w:numPr>
      </w:pPr>
      <w:r w:rsidRPr="00D42571">
        <w:t xml:space="preserve">FACT_QUARTERLY_INDICATORS: </w:t>
      </w:r>
    </w:p>
    <w:p w14:paraId="582F64C7" w14:textId="77777777" w:rsidR="00D42571" w:rsidRPr="00D42571" w:rsidRDefault="00D42571" w:rsidP="00FA42C0">
      <w:pPr>
        <w:numPr>
          <w:ilvl w:val="1"/>
          <w:numId w:val="11"/>
        </w:numPr>
      </w:pPr>
      <w:r w:rsidRPr="00D42571">
        <w:t>Grain: Quarterly economic metrics</w:t>
      </w:r>
    </w:p>
    <w:p w14:paraId="2D3A0C1F" w14:textId="77777777" w:rsidR="00D42571" w:rsidRDefault="00D42571" w:rsidP="00FA42C0">
      <w:pPr>
        <w:numPr>
          <w:ilvl w:val="1"/>
          <w:numId w:val="11"/>
        </w:numPr>
      </w:pPr>
      <w:r w:rsidRPr="00D42571">
        <w:t>Measures: GDP, HOUSE_PRICE_INDEX</w:t>
      </w:r>
    </w:p>
    <w:p w14:paraId="73307AA5" w14:textId="05E447CE" w:rsidR="003D5A85" w:rsidRPr="00D42571" w:rsidRDefault="003D5A85" w:rsidP="00FA42C0">
      <w:pPr>
        <w:numPr>
          <w:ilvl w:val="1"/>
          <w:numId w:val="11"/>
        </w:numPr>
      </w:pPr>
      <w:r w:rsidRPr="003D5A85">
        <w:t>Foreign Key: JULIAN_DAY links to dimension table</w:t>
      </w:r>
    </w:p>
    <w:p w14:paraId="59D7F013" w14:textId="77777777" w:rsidR="00D42571" w:rsidRPr="00D42571" w:rsidRDefault="00D42571" w:rsidP="00FA42C0">
      <w:pPr>
        <w:numPr>
          <w:ilvl w:val="0"/>
          <w:numId w:val="11"/>
        </w:numPr>
      </w:pPr>
      <w:r w:rsidRPr="00D42571">
        <w:t xml:space="preserve">FACT_MONTHLY_INDICATORS: </w:t>
      </w:r>
    </w:p>
    <w:p w14:paraId="4C21ECB5" w14:textId="77777777" w:rsidR="00D42571" w:rsidRPr="00D42571" w:rsidRDefault="00D42571" w:rsidP="00FA42C0">
      <w:pPr>
        <w:numPr>
          <w:ilvl w:val="1"/>
          <w:numId w:val="11"/>
        </w:numPr>
      </w:pPr>
      <w:r w:rsidRPr="00D42571">
        <w:t>Grain: Monthly economic metrics</w:t>
      </w:r>
    </w:p>
    <w:p w14:paraId="4C82B37F" w14:textId="77777777" w:rsidR="00D42571" w:rsidRDefault="00D42571" w:rsidP="00FA42C0">
      <w:pPr>
        <w:numPr>
          <w:ilvl w:val="1"/>
          <w:numId w:val="11"/>
        </w:numPr>
      </w:pPr>
      <w:r w:rsidRPr="00D42571">
        <w:t>Measures: CPI, UNRATE (Unemployment Rate)</w:t>
      </w:r>
    </w:p>
    <w:p w14:paraId="17AF2C2E" w14:textId="56F66F04" w:rsidR="00E36A8F" w:rsidRDefault="003D5A85" w:rsidP="00FA42C0">
      <w:pPr>
        <w:numPr>
          <w:ilvl w:val="1"/>
          <w:numId w:val="11"/>
        </w:numPr>
      </w:pPr>
      <w:r w:rsidRPr="003D5A85">
        <w:t>Foreign Key: JULIAN_DAY links to dimension table</w:t>
      </w:r>
    </w:p>
    <w:p w14:paraId="7A17B367" w14:textId="77777777" w:rsidR="00624146" w:rsidRDefault="00624146" w:rsidP="00E126D5">
      <w:pPr>
        <w:ind w:left="1440"/>
      </w:pPr>
    </w:p>
    <w:p w14:paraId="4D3AC447" w14:textId="063418FC" w:rsidR="00D42571" w:rsidRPr="00E126D5" w:rsidRDefault="00D42571" w:rsidP="00E126D5">
      <w:pPr>
        <w:pStyle w:val="ListParagraph"/>
        <w:numPr>
          <w:ilvl w:val="0"/>
          <w:numId w:val="65"/>
        </w:numPr>
        <w:rPr>
          <w:b/>
          <w:bCs/>
        </w:rPr>
      </w:pPr>
      <w:r w:rsidRPr="00E126D5">
        <w:rPr>
          <w:b/>
          <w:bCs/>
        </w:rPr>
        <w:t>OLAP Cube Implementation</w:t>
      </w:r>
    </w:p>
    <w:p w14:paraId="6288C1E4" w14:textId="77777777" w:rsidR="00D42571" w:rsidRPr="00D42571" w:rsidRDefault="00D42571" w:rsidP="00D42571">
      <w:r w:rsidRPr="00D42571">
        <w:t>The design enables multiple analytical perspectives through a virtual OLAP cube:</w:t>
      </w:r>
    </w:p>
    <w:p w14:paraId="33832976" w14:textId="77777777" w:rsidR="00D42571" w:rsidRPr="00D42571" w:rsidRDefault="00D42571" w:rsidP="00FA42C0">
      <w:pPr>
        <w:numPr>
          <w:ilvl w:val="0"/>
          <w:numId w:val="12"/>
        </w:numPr>
      </w:pPr>
      <w:r w:rsidRPr="00D42571">
        <w:t>Dimensions: Time (Day, Month, Quarter, Year)</w:t>
      </w:r>
    </w:p>
    <w:p w14:paraId="49DA6158" w14:textId="77777777" w:rsidR="00D42571" w:rsidRPr="00D42571" w:rsidRDefault="00D42571" w:rsidP="00FA42C0">
      <w:pPr>
        <w:numPr>
          <w:ilvl w:val="0"/>
          <w:numId w:val="12"/>
        </w:numPr>
      </w:pPr>
      <w:r w:rsidRPr="00D42571">
        <w:t>Measures: Stock market metrics, Economic indicators</w:t>
      </w:r>
    </w:p>
    <w:p w14:paraId="59D53FC3" w14:textId="77777777" w:rsidR="00D42571" w:rsidRPr="00D42571" w:rsidRDefault="00D42571" w:rsidP="00FA42C0">
      <w:pPr>
        <w:numPr>
          <w:ilvl w:val="0"/>
          <w:numId w:val="12"/>
        </w:numPr>
      </w:pPr>
      <w:r w:rsidRPr="00D42571">
        <w:t xml:space="preserve">Supported operations: </w:t>
      </w:r>
    </w:p>
    <w:p w14:paraId="64FC1107" w14:textId="77777777" w:rsidR="00D42571" w:rsidRPr="00D42571" w:rsidRDefault="00D42571" w:rsidP="00FA42C0">
      <w:pPr>
        <w:numPr>
          <w:ilvl w:val="1"/>
          <w:numId w:val="12"/>
        </w:numPr>
      </w:pPr>
      <w:r w:rsidRPr="00D42571">
        <w:t>Slice: Analysis by specific time periods</w:t>
      </w:r>
    </w:p>
    <w:p w14:paraId="352616AE" w14:textId="77777777" w:rsidR="00D42571" w:rsidRPr="00D42571" w:rsidRDefault="00D42571" w:rsidP="00FA42C0">
      <w:pPr>
        <w:numPr>
          <w:ilvl w:val="1"/>
          <w:numId w:val="12"/>
        </w:numPr>
      </w:pPr>
      <w:r w:rsidRPr="00D42571">
        <w:t>Dice: Combining multiple indicators</w:t>
      </w:r>
    </w:p>
    <w:p w14:paraId="1140E296" w14:textId="77777777" w:rsidR="00D42571" w:rsidRPr="00D42571" w:rsidRDefault="00D42571" w:rsidP="00FA42C0">
      <w:pPr>
        <w:numPr>
          <w:ilvl w:val="1"/>
          <w:numId w:val="12"/>
        </w:numPr>
      </w:pPr>
      <w:r w:rsidRPr="00D42571">
        <w:t>Drill-down: From yearly to daily granularity</w:t>
      </w:r>
    </w:p>
    <w:p w14:paraId="01415203" w14:textId="77777777" w:rsidR="00D42571" w:rsidRPr="00D42571" w:rsidRDefault="00D42571" w:rsidP="00FA42C0">
      <w:pPr>
        <w:numPr>
          <w:ilvl w:val="1"/>
          <w:numId w:val="12"/>
        </w:numPr>
      </w:pPr>
      <w:r w:rsidRPr="00D42571">
        <w:t>Roll-up: Aggregating daily data to higher time levels</w:t>
      </w:r>
    </w:p>
    <w:p w14:paraId="41F3F570" w14:textId="77777777" w:rsidR="00D42571" w:rsidRPr="00D42571" w:rsidRDefault="00D42571" w:rsidP="003121D5">
      <w:r w:rsidRPr="00D42571">
        <w:t>Query Optimization Techniques</w:t>
      </w:r>
    </w:p>
    <w:p w14:paraId="471B93F1" w14:textId="77777777" w:rsidR="00D42571" w:rsidRPr="00D42571" w:rsidRDefault="00D42571" w:rsidP="00FA42C0">
      <w:pPr>
        <w:numPr>
          <w:ilvl w:val="0"/>
          <w:numId w:val="13"/>
        </w:numPr>
      </w:pPr>
      <w:r w:rsidRPr="00D42571">
        <w:lastRenderedPageBreak/>
        <w:t xml:space="preserve">Temporary Tables: </w:t>
      </w:r>
    </w:p>
    <w:p w14:paraId="08076A15" w14:textId="77777777" w:rsidR="00D42571" w:rsidRPr="00D42571" w:rsidRDefault="00D42571" w:rsidP="00FA42C0">
      <w:pPr>
        <w:numPr>
          <w:ilvl w:val="1"/>
          <w:numId w:val="13"/>
        </w:numPr>
      </w:pPr>
      <w:r w:rsidRPr="00D42571">
        <w:t>Used for staging intermediate aggregations</w:t>
      </w:r>
    </w:p>
    <w:p w14:paraId="1F7D5FD4" w14:textId="77777777" w:rsidR="00D42571" w:rsidRPr="00D42571" w:rsidRDefault="00D42571" w:rsidP="00FA42C0">
      <w:pPr>
        <w:numPr>
          <w:ilvl w:val="1"/>
          <w:numId w:val="13"/>
        </w:numPr>
      </w:pPr>
      <w:r w:rsidRPr="00D42571">
        <w:t>Reduces repeated computations in complex analyses</w:t>
      </w:r>
    </w:p>
    <w:p w14:paraId="27D20456" w14:textId="77777777" w:rsidR="00D42571" w:rsidRPr="00D42571" w:rsidRDefault="00D42571" w:rsidP="00FA42C0">
      <w:pPr>
        <w:numPr>
          <w:ilvl w:val="1"/>
          <w:numId w:val="13"/>
        </w:numPr>
      </w:pPr>
      <w:r w:rsidRPr="00D42571">
        <w:t>Improves query performance for multi-step calculations</w:t>
      </w:r>
    </w:p>
    <w:p w14:paraId="3EFD132F" w14:textId="77777777" w:rsidR="00D42571" w:rsidRPr="00D42571" w:rsidRDefault="00D42571" w:rsidP="00FA42C0">
      <w:pPr>
        <w:numPr>
          <w:ilvl w:val="0"/>
          <w:numId w:val="13"/>
        </w:numPr>
      </w:pPr>
      <w:r w:rsidRPr="00D42571">
        <w:t xml:space="preserve">Common Table Expressions (CTEs): </w:t>
      </w:r>
    </w:p>
    <w:p w14:paraId="0DD5D7E8" w14:textId="77777777" w:rsidR="00D42571" w:rsidRPr="00D42571" w:rsidRDefault="00D42571" w:rsidP="00FA42C0">
      <w:pPr>
        <w:numPr>
          <w:ilvl w:val="1"/>
          <w:numId w:val="13"/>
        </w:numPr>
      </w:pPr>
      <w:r w:rsidRPr="00D42571">
        <w:t>Implements hierarchical time-based calculations</w:t>
      </w:r>
    </w:p>
    <w:p w14:paraId="5FC88CFC" w14:textId="77777777" w:rsidR="00D42571" w:rsidRPr="00D42571" w:rsidRDefault="00D42571" w:rsidP="00FA42C0">
      <w:pPr>
        <w:numPr>
          <w:ilvl w:val="1"/>
          <w:numId w:val="13"/>
        </w:numPr>
      </w:pPr>
      <w:r w:rsidRPr="00D42571">
        <w:t>Enables window functions for trend analysis</w:t>
      </w:r>
    </w:p>
    <w:p w14:paraId="2BD5981C" w14:textId="77777777" w:rsidR="00D42571" w:rsidRPr="00D42571" w:rsidRDefault="00D42571" w:rsidP="00FA42C0">
      <w:pPr>
        <w:numPr>
          <w:ilvl w:val="1"/>
          <w:numId w:val="13"/>
        </w:numPr>
      </w:pPr>
      <w:r w:rsidRPr="00D42571">
        <w:t>Simplifies complex joins between fact tables at different granularities</w:t>
      </w:r>
    </w:p>
    <w:p w14:paraId="3C39279D" w14:textId="77777777" w:rsidR="00D42571" w:rsidRPr="00D42571" w:rsidRDefault="00D42571" w:rsidP="003121D5">
      <w:r w:rsidRPr="00D42571">
        <w:t>Design Benefits</w:t>
      </w:r>
    </w:p>
    <w:p w14:paraId="77B189C6" w14:textId="77777777" w:rsidR="00D42571" w:rsidRPr="00D42571" w:rsidRDefault="00D42571" w:rsidP="00FA42C0">
      <w:pPr>
        <w:numPr>
          <w:ilvl w:val="0"/>
          <w:numId w:val="14"/>
        </w:numPr>
      </w:pPr>
      <w:r w:rsidRPr="00D42571">
        <w:t xml:space="preserve">Analytical Flexibility: </w:t>
      </w:r>
    </w:p>
    <w:p w14:paraId="70FF65AA" w14:textId="77777777" w:rsidR="00D42571" w:rsidRPr="00D42571" w:rsidRDefault="00D42571" w:rsidP="00FA42C0">
      <w:pPr>
        <w:numPr>
          <w:ilvl w:val="1"/>
          <w:numId w:val="14"/>
        </w:numPr>
      </w:pPr>
      <w:r w:rsidRPr="00D42571">
        <w:t>Easy integration of indicators at different granularities</w:t>
      </w:r>
    </w:p>
    <w:p w14:paraId="10EC2AF7" w14:textId="77777777" w:rsidR="00D42571" w:rsidRPr="00D42571" w:rsidRDefault="00D42571" w:rsidP="00FA42C0">
      <w:pPr>
        <w:numPr>
          <w:ilvl w:val="1"/>
          <w:numId w:val="14"/>
        </w:numPr>
      </w:pPr>
      <w:r w:rsidRPr="00D42571">
        <w:t>Efficient historical trend analysis</w:t>
      </w:r>
    </w:p>
    <w:p w14:paraId="4F38F11D" w14:textId="77777777" w:rsidR="00D42571" w:rsidRPr="00D42571" w:rsidRDefault="00D42571" w:rsidP="00FA42C0">
      <w:pPr>
        <w:numPr>
          <w:ilvl w:val="1"/>
          <w:numId w:val="14"/>
        </w:numPr>
      </w:pPr>
      <w:r w:rsidRPr="00D42571">
        <w:t>Simplified correlation studies between economic indicators</w:t>
      </w:r>
    </w:p>
    <w:p w14:paraId="5686C5E4" w14:textId="77777777" w:rsidR="00D42571" w:rsidRPr="00D42571" w:rsidRDefault="00D42571" w:rsidP="00FA42C0">
      <w:pPr>
        <w:numPr>
          <w:ilvl w:val="0"/>
          <w:numId w:val="14"/>
        </w:numPr>
      </w:pPr>
      <w:r w:rsidRPr="00D42571">
        <w:t xml:space="preserve">Performance Optimization: </w:t>
      </w:r>
    </w:p>
    <w:p w14:paraId="0B62AC4D" w14:textId="77777777" w:rsidR="00D42571" w:rsidRPr="00D42571" w:rsidRDefault="00D42571" w:rsidP="00FA42C0">
      <w:pPr>
        <w:numPr>
          <w:ilvl w:val="1"/>
          <w:numId w:val="14"/>
        </w:numPr>
      </w:pPr>
      <w:r w:rsidRPr="00D42571">
        <w:t>Minimized join complexity through star schema</w:t>
      </w:r>
    </w:p>
    <w:p w14:paraId="6378ABBC" w14:textId="77777777" w:rsidR="00D42571" w:rsidRPr="00D42571" w:rsidRDefault="00D42571" w:rsidP="00FA42C0">
      <w:pPr>
        <w:numPr>
          <w:ilvl w:val="1"/>
          <w:numId w:val="14"/>
        </w:numPr>
      </w:pPr>
      <w:r w:rsidRPr="00D42571">
        <w:t>Efficient aggregation through proper indexing</w:t>
      </w:r>
    </w:p>
    <w:p w14:paraId="27613A1E" w14:textId="77777777" w:rsidR="00D42571" w:rsidRPr="00D42571" w:rsidRDefault="00D42571" w:rsidP="00FA42C0">
      <w:pPr>
        <w:numPr>
          <w:ilvl w:val="1"/>
          <w:numId w:val="14"/>
        </w:numPr>
      </w:pPr>
      <w:r w:rsidRPr="00D42571">
        <w:t>Reduced storage through normalized time dimension</w:t>
      </w:r>
    </w:p>
    <w:p w14:paraId="57FF5D2D" w14:textId="77777777" w:rsidR="00D42571" w:rsidRPr="00D42571" w:rsidRDefault="00D42571" w:rsidP="00FA42C0">
      <w:pPr>
        <w:numPr>
          <w:ilvl w:val="0"/>
          <w:numId w:val="14"/>
        </w:numPr>
      </w:pPr>
      <w:r w:rsidRPr="00D42571">
        <w:t xml:space="preserve">Maintainability: </w:t>
      </w:r>
    </w:p>
    <w:p w14:paraId="7AA65DBD" w14:textId="77777777" w:rsidR="00D42571" w:rsidRPr="00D42571" w:rsidRDefault="00D42571" w:rsidP="00FA42C0">
      <w:pPr>
        <w:numPr>
          <w:ilvl w:val="1"/>
          <w:numId w:val="14"/>
        </w:numPr>
      </w:pPr>
      <w:r w:rsidRPr="00D42571">
        <w:t>Clear separation of facts and dimensions</w:t>
      </w:r>
    </w:p>
    <w:p w14:paraId="5B67060F" w14:textId="77777777" w:rsidR="00D42571" w:rsidRPr="00D42571" w:rsidRDefault="00D42571" w:rsidP="00FA42C0">
      <w:pPr>
        <w:numPr>
          <w:ilvl w:val="1"/>
          <w:numId w:val="14"/>
        </w:numPr>
      </w:pPr>
      <w:r w:rsidRPr="00D42571">
        <w:t>Easy addition of new economic indicators</w:t>
      </w:r>
    </w:p>
    <w:p w14:paraId="1A604498" w14:textId="77777777" w:rsidR="00D42571" w:rsidRPr="00D42571" w:rsidRDefault="00D42571" w:rsidP="00FA42C0">
      <w:pPr>
        <w:numPr>
          <w:ilvl w:val="1"/>
          <w:numId w:val="14"/>
        </w:numPr>
      </w:pPr>
      <w:r w:rsidRPr="00D42571">
        <w:t>Consistent handling of temporal relationships</w:t>
      </w:r>
    </w:p>
    <w:p w14:paraId="014BCFF1" w14:textId="77777777" w:rsidR="00940F1B" w:rsidRDefault="00D42571" w:rsidP="00373F62">
      <w:r w:rsidRPr="00D42571">
        <w:t>This design effectively supports complex analytical queries while maintaining performance and flexibility for various types of financial and economic analyses.</w:t>
      </w:r>
      <w:r w:rsidR="00940F1B" w:rsidRPr="00940F1B">
        <w:t xml:space="preserve"> </w:t>
      </w:r>
    </w:p>
    <w:p w14:paraId="7A35A923" w14:textId="4A24CFFC" w:rsidR="0022089A" w:rsidRDefault="00940F1B" w:rsidP="00373F62">
      <w:r w:rsidRPr="006B30BB">
        <w:rPr>
          <w:noProof/>
        </w:rPr>
        <w:lastRenderedPageBreak/>
        <w:drawing>
          <wp:inline distT="0" distB="0" distL="0" distR="0" wp14:anchorId="570A3B6E" wp14:editId="3E96DE0D">
            <wp:extent cx="5477639" cy="6449325"/>
            <wp:effectExtent l="0" t="0" r="8890" b="8890"/>
            <wp:docPr id="1799028550"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28550" name="Picture 1" descr="A diagram of a number&#10;&#10;Description automatically generated"/>
                    <pic:cNvPicPr/>
                  </pic:nvPicPr>
                  <pic:blipFill>
                    <a:blip r:embed="rId8"/>
                    <a:stretch>
                      <a:fillRect/>
                    </a:stretch>
                  </pic:blipFill>
                  <pic:spPr>
                    <a:xfrm>
                      <a:off x="0" y="0"/>
                      <a:ext cx="5477639" cy="6449325"/>
                    </a:xfrm>
                    <a:prstGeom prst="rect">
                      <a:avLst/>
                    </a:prstGeom>
                  </pic:spPr>
                </pic:pic>
              </a:graphicData>
            </a:graphic>
          </wp:inline>
        </w:drawing>
      </w:r>
    </w:p>
    <w:p w14:paraId="4F8F18AC" w14:textId="2C956EE0" w:rsidR="0022089A" w:rsidRDefault="0022089A" w:rsidP="00D42571"/>
    <w:p w14:paraId="09A1F4FF" w14:textId="61E43895" w:rsidR="003121D5" w:rsidRPr="0022089A" w:rsidRDefault="0022089A" w:rsidP="0022089A">
      <w:pPr>
        <w:pStyle w:val="Caption"/>
        <w:jc w:val="center"/>
        <w:rPr>
          <w:b/>
          <w:bCs/>
          <w:i w:val="0"/>
          <w:iCs w:val="0"/>
          <w:sz w:val="22"/>
          <w:szCs w:val="22"/>
        </w:rPr>
      </w:pPr>
      <w:r>
        <w:t xml:space="preserve">Figure </w:t>
      </w:r>
      <w:fldSimple w:instr=" SEQ Figure \* ARABIC ">
        <w:r>
          <w:rPr>
            <w:noProof/>
          </w:rPr>
          <w:t>1</w:t>
        </w:r>
      </w:fldSimple>
      <w:r>
        <w:t>:Dimensional model (OLAP)</w:t>
      </w:r>
    </w:p>
    <w:p w14:paraId="3D4054B1" w14:textId="77777777" w:rsidR="00373F62" w:rsidRDefault="00373F62" w:rsidP="007F67E0">
      <w:pPr>
        <w:rPr>
          <w:b/>
          <w:bCs/>
        </w:rPr>
      </w:pPr>
    </w:p>
    <w:p w14:paraId="19CC4191" w14:textId="77777777" w:rsidR="006B30BB" w:rsidRDefault="006B30BB" w:rsidP="007F67E0">
      <w:pPr>
        <w:rPr>
          <w:b/>
          <w:bCs/>
        </w:rPr>
      </w:pPr>
    </w:p>
    <w:p w14:paraId="1EB20F70" w14:textId="77777777" w:rsidR="006B30BB" w:rsidRDefault="006B30BB" w:rsidP="007F67E0">
      <w:pPr>
        <w:rPr>
          <w:b/>
          <w:bCs/>
        </w:rPr>
      </w:pPr>
    </w:p>
    <w:p w14:paraId="17C0F106" w14:textId="77777777" w:rsidR="006B30BB" w:rsidRDefault="006B30BB" w:rsidP="007F67E0">
      <w:pPr>
        <w:rPr>
          <w:b/>
          <w:bCs/>
        </w:rPr>
      </w:pPr>
    </w:p>
    <w:p w14:paraId="3B6EAD87" w14:textId="77777777" w:rsidR="006B30BB" w:rsidRDefault="006B30BB" w:rsidP="007F67E0">
      <w:pPr>
        <w:rPr>
          <w:b/>
          <w:bCs/>
        </w:rPr>
      </w:pPr>
    </w:p>
    <w:p w14:paraId="28E23A38" w14:textId="7C9A0F0D" w:rsidR="007F67E0" w:rsidRDefault="007F67E0" w:rsidP="000F55C2">
      <w:pPr>
        <w:pStyle w:val="Heading3"/>
      </w:pPr>
      <w:bookmarkStart w:id="9" w:name="_Toc183390769"/>
      <w:r w:rsidRPr="007F67E0">
        <w:t>Transactional Model (OLTP)</w:t>
      </w:r>
      <w:bookmarkEnd w:id="9"/>
    </w:p>
    <w:p w14:paraId="1B8C4E17" w14:textId="77777777" w:rsidR="00D67F80" w:rsidRDefault="00D67F80" w:rsidP="007F67E0">
      <w:pPr>
        <w:rPr>
          <w:b/>
          <w:bCs/>
        </w:rPr>
      </w:pPr>
    </w:p>
    <w:p w14:paraId="42FBD5DD" w14:textId="1EBE4D2D" w:rsidR="00D67F80" w:rsidRPr="007F67E0" w:rsidRDefault="00D67F80" w:rsidP="007F67E0">
      <w:pPr>
        <w:rPr>
          <w:b/>
          <w:bCs/>
        </w:rPr>
      </w:pPr>
      <w:r>
        <w:rPr>
          <w:b/>
          <w:bCs/>
        </w:rPr>
        <w:t xml:space="preserve">A </w:t>
      </w:r>
      <w:r w:rsidR="00501963">
        <w:rPr>
          <w:b/>
          <w:bCs/>
        </w:rPr>
        <w:t>transactional</w:t>
      </w:r>
      <w:r>
        <w:rPr>
          <w:b/>
          <w:bCs/>
        </w:rPr>
        <w:t xml:space="preserve"> model would involve:</w:t>
      </w:r>
    </w:p>
    <w:p w14:paraId="09E031EA" w14:textId="77777777" w:rsidR="007F67E0" w:rsidRPr="007F67E0" w:rsidRDefault="007F67E0" w:rsidP="00FA42C0">
      <w:pPr>
        <w:numPr>
          <w:ilvl w:val="0"/>
          <w:numId w:val="2"/>
        </w:numPr>
      </w:pPr>
      <w:r w:rsidRPr="007F67E0">
        <w:rPr>
          <w:b/>
          <w:bCs/>
        </w:rPr>
        <w:t>HOUSING_TRANSACTIONS</w:t>
      </w:r>
      <w:r w:rsidRPr="007F67E0">
        <w:t>: Captures raw housing transaction details.</w:t>
      </w:r>
    </w:p>
    <w:p w14:paraId="78E7A0FE" w14:textId="77777777" w:rsidR="007F67E0" w:rsidRPr="007F67E0" w:rsidRDefault="007F67E0" w:rsidP="00FA42C0">
      <w:pPr>
        <w:numPr>
          <w:ilvl w:val="0"/>
          <w:numId w:val="2"/>
        </w:numPr>
      </w:pPr>
      <w:r w:rsidRPr="007F67E0">
        <w:rPr>
          <w:b/>
          <w:bCs/>
        </w:rPr>
        <w:t>LABOR_SURVEY_RESPONSES</w:t>
      </w:r>
      <w:r w:rsidRPr="007F67E0">
        <w:t>: Logs individual labor survey results.</w:t>
      </w:r>
    </w:p>
    <w:p w14:paraId="691818F2" w14:textId="77777777" w:rsidR="007F67E0" w:rsidRDefault="007F67E0" w:rsidP="00FA42C0">
      <w:pPr>
        <w:numPr>
          <w:ilvl w:val="0"/>
          <w:numId w:val="2"/>
        </w:numPr>
      </w:pPr>
      <w:r w:rsidRPr="007F67E0">
        <w:rPr>
          <w:b/>
          <w:bCs/>
        </w:rPr>
        <w:t>STOCK_TRADES</w:t>
      </w:r>
      <w:r w:rsidRPr="007F67E0">
        <w:t>: Tracks stock trades at the transactional level.</w:t>
      </w:r>
    </w:p>
    <w:p w14:paraId="6B0D8E8D" w14:textId="05465E46" w:rsidR="00373F62" w:rsidRPr="007F67E0" w:rsidRDefault="00373F62" w:rsidP="00373F62"/>
    <w:p w14:paraId="3B3C41D1" w14:textId="459734B8" w:rsidR="003121D5" w:rsidRDefault="0022089A" w:rsidP="003121D5">
      <w:pPr>
        <w:rPr>
          <w:b/>
          <w:bCs/>
        </w:rPr>
      </w:pPr>
      <w:r w:rsidRPr="0022089A">
        <w:rPr>
          <w:b/>
          <w:bCs/>
          <w:noProof/>
        </w:rPr>
        <w:drawing>
          <wp:anchor distT="0" distB="0" distL="114300" distR="114300" simplePos="0" relativeHeight="251664384" behindDoc="0" locked="0" layoutInCell="1" allowOverlap="1" wp14:anchorId="7C600204" wp14:editId="68517D8A">
            <wp:simplePos x="0" y="0"/>
            <wp:positionH relativeFrom="column">
              <wp:posOffset>0</wp:posOffset>
            </wp:positionH>
            <wp:positionV relativeFrom="paragraph">
              <wp:posOffset>274955</wp:posOffset>
            </wp:positionV>
            <wp:extent cx="5943600" cy="2614930"/>
            <wp:effectExtent l="0" t="0" r="0" b="0"/>
            <wp:wrapTopAndBottom/>
            <wp:docPr id="1827894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94479"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anchor>
        </w:drawing>
      </w:r>
    </w:p>
    <w:p w14:paraId="2AB233D5" w14:textId="42818D50" w:rsidR="003121D5" w:rsidRDefault="003121D5" w:rsidP="003121D5">
      <w:pPr>
        <w:rPr>
          <w:b/>
          <w:bCs/>
        </w:rPr>
      </w:pPr>
    </w:p>
    <w:p w14:paraId="40DA6105" w14:textId="626E6A22" w:rsidR="003121D5" w:rsidRDefault="003121D5" w:rsidP="003121D5">
      <w:pPr>
        <w:rPr>
          <w:b/>
          <w:bCs/>
        </w:rPr>
      </w:pPr>
    </w:p>
    <w:p w14:paraId="503453C7" w14:textId="266AC643" w:rsidR="003121D5" w:rsidRPr="000F55C2" w:rsidRDefault="000F55C2" w:rsidP="003121D5">
      <w:r w:rsidRPr="000F55C2">
        <w:t xml:space="preserve">The diagram illustrates </w:t>
      </w:r>
      <w:r>
        <w:t>how the OLAP would feed from the OLTP Tables.</w:t>
      </w:r>
      <w:r w:rsidR="00C95B7B">
        <w:t xml:space="preserve"> Each table record data on a </w:t>
      </w:r>
      <w:r w:rsidR="00383423">
        <w:t xml:space="preserve">1 row per record level which would then be aggregated </w:t>
      </w:r>
      <w:r w:rsidR="00162004">
        <w:t xml:space="preserve">to give </w:t>
      </w:r>
      <w:r w:rsidR="00940F1B">
        <w:t>quarterly,</w:t>
      </w:r>
      <w:r w:rsidR="00162004">
        <w:t xml:space="preserve"> monthly or summarized tables. </w:t>
      </w:r>
    </w:p>
    <w:p w14:paraId="54BEC4CF" w14:textId="77777777" w:rsidR="003121D5" w:rsidRDefault="003121D5" w:rsidP="003121D5">
      <w:pPr>
        <w:rPr>
          <w:b/>
          <w:bCs/>
        </w:rPr>
      </w:pPr>
    </w:p>
    <w:p w14:paraId="1C04133F" w14:textId="77777777" w:rsidR="003121D5" w:rsidRDefault="003121D5" w:rsidP="003121D5">
      <w:pPr>
        <w:rPr>
          <w:b/>
          <w:bCs/>
        </w:rPr>
      </w:pPr>
    </w:p>
    <w:p w14:paraId="6C41633A" w14:textId="77777777" w:rsidR="003121D5" w:rsidRDefault="003121D5" w:rsidP="003121D5">
      <w:pPr>
        <w:rPr>
          <w:b/>
          <w:bCs/>
        </w:rPr>
      </w:pPr>
    </w:p>
    <w:p w14:paraId="34F3E092" w14:textId="77777777" w:rsidR="000F55C2" w:rsidRDefault="000F55C2" w:rsidP="003121D5">
      <w:pPr>
        <w:rPr>
          <w:b/>
          <w:bCs/>
        </w:rPr>
      </w:pPr>
    </w:p>
    <w:p w14:paraId="68808CA1" w14:textId="3A0AC08B" w:rsidR="003121D5" w:rsidRDefault="003121D5" w:rsidP="003121D5">
      <w:pPr>
        <w:rPr>
          <w:b/>
          <w:bCs/>
        </w:rPr>
      </w:pPr>
    </w:p>
    <w:p w14:paraId="54481D4E" w14:textId="77777777" w:rsidR="00162004" w:rsidRDefault="00162004" w:rsidP="007F67E0">
      <w:pPr>
        <w:rPr>
          <w:b/>
          <w:bCs/>
        </w:rPr>
      </w:pPr>
    </w:p>
    <w:p w14:paraId="5E85D902" w14:textId="45B44904" w:rsidR="007F67E0" w:rsidRPr="007F67E0" w:rsidRDefault="00162004" w:rsidP="00162004">
      <w:pPr>
        <w:pStyle w:val="Heading3"/>
      </w:pPr>
      <w:bookmarkStart w:id="10" w:name="_Toc183390770"/>
      <w:r>
        <w:lastRenderedPageBreak/>
        <w:t>Analysis Data Relationships and Trends</w:t>
      </w:r>
      <w:bookmarkEnd w:id="10"/>
    </w:p>
    <w:p w14:paraId="7E560867" w14:textId="2A12C6A2" w:rsidR="00620EC7" w:rsidRDefault="00CD4BCA" w:rsidP="007F67E0">
      <w:r>
        <w:t xml:space="preserve">This section provides some analytical queries along with </w:t>
      </w:r>
      <w:r w:rsidR="002E7DFB">
        <w:t>outputs which have been truncated in some cases</w:t>
      </w:r>
      <w:r w:rsidR="0077630F">
        <w:t xml:space="preserve"> </w:t>
      </w:r>
      <w:r w:rsidR="002E7DFB">
        <w:t xml:space="preserve">(due to volume of data). These queries will show the relations and trends between various economic indicators and the financial data. Later these have been used for visualizations. </w:t>
      </w:r>
    </w:p>
    <w:p w14:paraId="711199C8" w14:textId="53CE80E6" w:rsidR="00433399" w:rsidRPr="0077630F" w:rsidRDefault="00433399" w:rsidP="0077630F">
      <w:pPr>
        <w:pStyle w:val="Heading4"/>
        <w:rPr>
          <w:b/>
          <w:bCs/>
        </w:rPr>
      </w:pPr>
      <w:bookmarkStart w:id="11" w:name="_Toc183390771"/>
      <w:r w:rsidRPr="0077630F">
        <w:rPr>
          <w:b/>
          <w:bCs/>
        </w:rPr>
        <w:t>Analytical Queries:</w:t>
      </w:r>
      <w:bookmarkEnd w:id="11"/>
    </w:p>
    <w:p w14:paraId="462DDC3F" w14:textId="4D0CE54C" w:rsidR="00433399" w:rsidRPr="0077630F" w:rsidRDefault="00CC5523" w:rsidP="0077630F">
      <w:pPr>
        <w:pStyle w:val="Heading5"/>
        <w:rPr>
          <w:b/>
          <w:bCs/>
        </w:rPr>
      </w:pPr>
      <w:bookmarkStart w:id="12" w:name="_Toc183390772"/>
      <w:r w:rsidRPr="0077630F">
        <w:rPr>
          <w:b/>
          <w:bCs/>
        </w:rPr>
        <w:t>Analysis 1: Market Volatility Study</w:t>
      </w:r>
      <w:bookmarkEnd w:id="12"/>
    </w:p>
    <w:p w14:paraId="78DDC8E1" w14:textId="77777777" w:rsidR="00CC5523" w:rsidRDefault="00CC5523" w:rsidP="00162004">
      <w:r>
        <w:t>Query Purpose:</w:t>
      </w:r>
    </w:p>
    <w:p w14:paraId="6F704C75" w14:textId="77777777" w:rsidR="00CC5523" w:rsidRDefault="00CC5523" w:rsidP="00162004">
      <w:pPr>
        <w:pStyle w:val="ListParagraph"/>
        <w:numPr>
          <w:ilvl w:val="0"/>
          <w:numId w:val="15"/>
        </w:numPr>
      </w:pPr>
      <w:r>
        <w:t>Calculates monthly price volatility of S&amp;P 500</w:t>
      </w:r>
    </w:p>
    <w:p w14:paraId="423213EC" w14:textId="77777777" w:rsidR="00CC5523" w:rsidRDefault="00CC5523" w:rsidP="00162004">
      <w:pPr>
        <w:pStyle w:val="ListParagraph"/>
        <w:numPr>
          <w:ilvl w:val="0"/>
          <w:numId w:val="15"/>
        </w:numPr>
      </w:pPr>
      <w:r>
        <w:t>Measures trading volume patterns</w:t>
      </w:r>
    </w:p>
    <w:p w14:paraId="16332279" w14:textId="77777777" w:rsidR="00CC5523" w:rsidRDefault="00CC5523" w:rsidP="00162004">
      <w:pPr>
        <w:pStyle w:val="ListParagraph"/>
        <w:numPr>
          <w:ilvl w:val="0"/>
          <w:numId w:val="15"/>
        </w:numPr>
      </w:pPr>
      <w:r>
        <w:t>Identifies historically volatile periods</w:t>
      </w:r>
    </w:p>
    <w:p w14:paraId="1B9678BE" w14:textId="192CAF00" w:rsidR="0011783F" w:rsidRDefault="0011783F" w:rsidP="00162004">
      <w:r>
        <w:t>Business Insights:</w:t>
      </w:r>
    </w:p>
    <w:p w14:paraId="76A2CA7E" w14:textId="77777777" w:rsidR="0011783F" w:rsidRDefault="0011783F" w:rsidP="00162004">
      <w:pPr>
        <w:pStyle w:val="ListParagraph"/>
        <w:numPr>
          <w:ilvl w:val="0"/>
          <w:numId w:val="15"/>
        </w:numPr>
      </w:pPr>
      <w:r>
        <w:t>Identifies historical stress periods in the market</w:t>
      </w:r>
    </w:p>
    <w:p w14:paraId="5E3F40D4" w14:textId="77777777" w:rsidR="0011783F" w:rsidRDefault="0011783F" w:rsidP="00162004">
      <w:pPr>
        <w:pStyle w:val="ListParagraph"/>
        <w:numPr>
          <w:ilvl w:val="0"/>
          <w:numId w:val="15"/>
        </w:numPr>
      </w:pPr>
      <w:r>
        <w:t>Shows clustering of volatile periods (e.g., 2008 crisis)</w:t>
      </w:r>
    </w:p>
    <w:p w14:paraId="3BA6E500" w14:textId="77777777" w:rsidR="0011783F" w:rsidRDefault="0011783F" w:rsidP="00162004">
      <w:pPr>
        <w:pStyle w:val="ListParagraph"/>
        <w:numPr>
          <w:ilvl w:val="0"/>
          <w:numId w:val="15"/>
        </w:numPr>
      </w:pPr>
      <w:r>
        <w:t>Demonstrates how market behavior has evolved over time</w:t>
      </w:r>
    </w:p>
    <w:p w14:paraId="0CABFEA1" w14:textId="77777777" w:rsidR="0011783F" w:rsidRDefault="0011783F" w:rsidP="00162004">
      <w:pPr>
        <w:pStyle w:val="ListParagraph"/>
        <w:numPr>
          <w:ilvl w:val="0"/>
          <w:numId w:val="15"/>
        </w:numPr>
      </w:pPr>
      <w:r>
        <w:t>Helps in understanding risk patterns across different market cycles</w:t>
      </w:r>
    </w:p>
    <w:p w14:paraId="3D5420DC" w14:textId="77777777" w:rsidR="0011783F" w:rsidRDefault="0011783F" w:rsidP="0011783F">
      <w:pPr>
        <w:pStyle w:val="ListParagraph"/>
        <w:ind w:left="1440"/>
      </w:pPr>
    </w:p>
    <w:p w14:paraId="394CB649" w14:textId="5F7D5E81" w:rsidR="00CC5523" w:rsidRDefault="0011783F" w:rsidP="0011783F">
      <w:pPr>
        <w:pStyle w:val="ListParagraph"/>
        <w:ind w:left="0"/>
      </w:pPr>
      <w:r>
        <w:t>This analysis provides a foundation for understanding market behavior during different economic conditions, which is crucial for risk assessment and investment strategy development.</w:t>
      </w:r>
    </w:p>
    <w:p w14:paraId="2FCDB6F2" w14:textId="475730EE" w:rsidR="00620EC7" w:rsidRDefault="00845850" w:rsidP="007F67E0">
      <w:r w:rsidRPr="00845850">
        <w:rPr>
          <w:noProof/>
        </w:rPr>
        <w:drawing>
          <wp:inline distT="0" distB="0" distL="0" distR="0" wp14:anchorId="76FCE948" wp14:editId="76D1687A">
            <wp:extent cx="4963218" cy="2152950"/>
            <wp:effectExtent l="0" t="0" r="8890" b="0"/>
            <wp:docPr id="47280865"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865" name="Picture 1" descr="A computer code with numbers and symbols&#10;&#10;Description automatically generated"/>
                    <pic:cNvPicPr/>
                  </pic:nvPicPr>
                  <pic:blipFill>
                    <a:blip r:embed="rId10"/>
                    <a:stretch>
                      <a:fillRect/>
                    </a:stretch>
                  </pic:blipFill>
                  <pic:spPr>
                    <a:xfrm>
                      <a:off x="0" y="0"/>
                      <a:ext cx="4963218" cy="2152950"/>
                    </a:xfrm>
                    <a:prstGeom prst="rect">
                      <a:avLst/>
                    </a:prstGeom>
                  </pic:spPr>
                </pic:pic>
              </a:graphicData>
            </a:graphic>
          </wp:inline>
        </w:drawing>
      </w:r>
    </w:p>
    <w:p w14:paraId="177C5531" w14:textId="1B98D213" w:rsidR="00162004" w:rsidRDefault="003F598C" w:rsidP="00162004">
      <w:r w:rsidRPr="003F598C">
        <w:rPr>
          <w:noProof/>
        </w:rPr>
        <w:drawing>
          <wp:inline distT="0" distB="0" distL="0" distR="0" wp14:anchorId="5A3CECD7" wp14:editId="5AD4D18D">
            <wp:extent cx="3971290" cy="1181100"/>
            <wp:effectExtent l="0" t="0" r="0" b="0"/>
            <wp:docPr id="93402353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23530" name="Picture 1" descr="A screenshot of a data&#10;&#10;Description automatically generated"/>
                    <pic:cNvPicPr/>
                  </pic:nvPicPr>
                  <pic:blipFill rotWithShape="1">
                    <a:blip r:embed="rId11"/>
                    <a:srcRect b="59069"/>
                    <a:stretch/>
                  </pic:blipFill>
                  <pic:spPr bwMode="auto">
                    <a:xfrm>
                      <a:off x="0" y="0"/>
                      <a:ext cx="3972479" cy="1181454"/>
                    </a:xfrm>
                    <a:prstGeom prst="rect">
                      <a:avLst/>
                    </a:prstGeom>
                    <a:ln>
                      <a:noFill/>
                    </a:ln>
                    <a:extLst>
                      <a:ext uri="{53640926-AAD7-44D8-BBD7-CCE9431645EC}">
                        <a14:shadowObscured xmlns:a14="http://schemas.microsoft.com/office/drawing/2010/main"/>
                      </a:ext>
                    </a:extLst>
                  </pic:spPr>
                </pic:pic>
              </a:graphicData>
            </a:graphic>
          </wp:inline>
        </w:drawing>
      </w:r>
    </w:p>
    <w:p w14:paraId="64B489F1" w14:textId="77777777" w:rsidR="002E7DFB" w:rsidRDefault="002E7DFB" w:rsidP="00162004"/>
    <w:p w14:paraId="556AF7DB" w14:textId="77777777" w:rsidR="002E7DFB" w:rsidRDefault="002E7DFB" w:rsidP="00162004"/>
    <w:p w14:paraId="09C35186" w14:textId="258F2EAF" w:rsidR="00620EC7" w:rsidRPr="0077630F" w:rsidRDefault="00102818" w:rsidP="0077630F">
      <w:pPr>
        <w:pStyle w:val="Heading5"/>
        <w:rPr>
          <w:b/>
          <w:bCs/>
        </w:rPr>
      </w:pPr>
      <w:bookmarkStart w:id="13" w:name="_Toc183390773"/>
      <w:r w:rsidRPr="0077630F">
        <w:rPr>
          <w:b/>
          <w:bCs/>
        </w:rPr>
        <w:lastRenderedPageBreak/>
        <w:t>Analysis 2: Cross-Metric Economic Overview</w:t>
      </w:r>
      <w:bookmarkEnd w:id="13"/>
    </w:p>
    <w:p w14:paraId="27EE732A" w14:textId="77777777" w:rsidR="00143432" w:rsidRPr="00143432" w:rsidRDefault="00143432" w:rsidP="00143432">
      <w:r w:rsidRPr="00143432">
        <w:t>Query Purpose:</w:t>
      </w:r>
    </w:p>
    <w:p w14:paraId="01C4ED14" w14:textId="77777777" w:rsidR="00143432" w:rsidRPr="00143432" w:rsidRDefault="00143432" w:rsidP="00FA42C0">
      <w:pPr>
        <w:numPr>
          <w:ilvl w:val="0"/>
          <w:numId w:val="16"/>
        </w:numPr>
      </w:pPr>
      <w:r w:rsidRPr="00143432">
        <w:t>Creates a comprehensive quarterly view of all key economic indicators</w:t>
      </w:r>
    </w:p>
    <w:p w14:paraId="7AC7C213" w14:textId="77777777" w:rsidR="00143432" w:rsidRPr="00143432" w:rsidRDefault="00143432" w:rsidP="00FA42C0">
      <w:pPr>
        <w:numPr>
          <w:ilvl w:val="0"/>
          <w:numId w:val="16"/>
        </w:numPr>
      </w:pPr>
      <w:r w:rsidRPr="00143432">
        <w:t>Aligns metrics of different granularities (daily, monthly, quarterly)</w:t>
      </w:r>
    </w:p>
    <w:p w14:paraId="1D229C9A" w14:textId="6527C5B5" w:rsidR="00102818" w:rsidRDefault="00143432" w:rsidP="00FA42C0">
      <w:pPr>
        <w:numPr>
          <w:ilvl w:val="0"/>
          <w:numId w:val="16"/>
        </w:numPr>
      </w:pPr>
      <w:r w:rsidRPr="00143432">
        <w:t>Enables multi-factor economic analysis</w:t>
      </w:r>
    </w:p>
    <w:p w14:paraId="14468319" w14:textId="77777777" w:rsidR="007E76A6" w:rsidRPr="007E76A6" w:rsidRDefault="007E76A6" w:rsidP="007E76A6">
      <w:r w:rsidRPr="007E76A6">
        <w:t>Value of Analysis:</w:t>
      </w:r>
    </w:p>
    <w:p w14:paraId="70201266" w14:textId="77777777" w:rsidR="007E76A6" w:rsidRPr="007E76A6" w:rsidRDefault="007E76A6" w:rsidP="00FA42C0">
      <w:pPr>
        <w:numPr>
          <w:ilvl w:val="0"/>
          <w:numId w:val="17"/>
        </w:numPr>
      </w:pPr>
      <w:r w:rsidRPr="007E76A6">
        <w:t>Shows interrelationships between economic indicators</w:t>
      </w:r>
    </w:p>
    <w:p w14:paraId="196EB55D" w14:textId="77777777" w:rsidR="007E76A6" w:rsidRPr="007E76A6" w:rsidRDefault="007E76A6" w:rsidP="00FA42C0">
      <w:pPr>
        <w:numPr>
          <w:ilvl w:val="0"/>
          <w:numId w:val="17"/>
        </w:numPr>
      </w:pPr>
      <w:r w:rsidRPr="007E76A6">
        <w:t>Captures economic cycle progression</w:t>
      </w:r>
    </w:p>
    <w:p w14:paraId="47307040" w14:textId="77777777" w:rsidR="007E76A6" w:rsidRPr="007E76A6" w:rsidRDefault="007E76A6" w:rsidP="00FA42C0">
      <w:pPr>
        <w:numPr>
          <w:ilvl w:val="0"/>
          <w:numId w:val="17"/>
        </w:numPr>
      </w:pPr>
      <w:r w:rsidRPr="007E76A6">
        <w:t>Enables identification of leading/lagging indicators</w:t>
      </w:r>
    </w:p>
    <w:p w14:paraId="284F1B52" w14:textId="77777777" w:rsidR="007E76A6" w:rsidRPr="007E76A6" w:rsidRDefault="007E76A6" w:rsidP="00FA42C0">
      <w:pPr>
        <w:numPr>
          <w:ilvl w:val="0"/>
          <w:numId w:val="17"/>
        </w:numPr>
      </w:pPr>
      <w:r w:rsidRPr="007E76A6">
        <w:t>Provides context for understanding market behavior during economic transitions</w:t>
      </w:r>
    </w:p>
    <w:p w14:paraId="7DD7EAFB" w14:textId="77777777" w:rsidR="007E76A6" w:rsidRPr="007E76A6" w:rsidRDefault="007E76A6" w:rsidP="007E76A6">
      <w:r w:rsidRPr="007E76A6">
        <w:t>This comprehensive view helps understand how different economic metrics interact during various phases of the economic cycle, particularly useful for both historical analysis and future pattern recognition.</w:t>
      </w:r>
    </w:p>
    <w:p w14:paraId="21B8DB59" w14:textId="77777777" w:rsidR="00620EC7" w:rsidRDefault="00620EC7" w:rsidP="007F67E0"/>
    <w:p w14:paraId="2E9577A6" w14:textId="359818EF" w:rsidR="00620EC7" w:rsidRDefault="00AD774D" w:rsidP="007F67E0">
      <w:r w:rsidRPr="00AD774D">
        <w:rPr>
          <w:noProof/>
        </w:rPr>
        <w:drawing>
          <wp:inline distT="0" distB="0" distL="0" distR="0" wp14:anchorId="2701697C" wp14:editId="1DA02A67">
            <wp:extent cx="4896533" cy="2162477"/>
            <wp:effectExtent l="0" t="0" r="0" b="9525"/>
            <wp:docPr id="5026156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5631" name="Picture 1" descr="A screenshot of a computer code&#10;&#10;Description automatically generated"/>
                    <pic:cNvPicPr/>
                  </pic:nvPicPr>
                  <pic:blipFill>
                    <a:blip r:embed="rId12"/>
                    <a:stretch>
                      <a:fillRect/>
                    </a:stretch>
                  </pic:blipFill>
                  <pic:spPr>
                    <a:xfrm>
                      <a:off x="0" y="0"/>
                      <a:ext cx="4896533" cy="2162477"/>
                    </a:xfrm>
                    <a:prstGeom prst="rect">
                      <a:avLst/>
                    </a:prstGeom>
                  </pic:spPr>
                </pic:pic>
              </a:graphicData>
            </a:graphic>
          </wp:inline>
        </w:drawing>
      </w:r>
    </w:p>
    <w:p w14:paraId="4747B639" w14:textId="77777777" w:rsidR="00620EC7" w:rsidRDefault="00620EC7" w:rsidP="007F67E0"/>
    <w:p w14:paraId="53EC09B1" w14:textId="77777777" w:rsidR="00620EC7" w:rsidRDefault="00620EC7" w:rsidP="007F67E0"/>
    <w:p w14:paraId="5D0C989D" w14:textId="474E8587" w:rsidR="00620EC7" w:rsidRDefault="00AD774D" w:rsidP="002E7DFB">
      <w:r w:rsidRPr="00AD774D">
        <w:rPr>
          <w:noProof/>
        </w:rPr>
        <w:drawing>
          <wp:inline distT="0" distB="0" distL="0" distR="0" wp14:anchorId="2FC8322D" wp14:editId="180F7ED4">
            <wp:extent cx="5943600" cy="1304925"/>
            <wp:effectExtent l="0" t="0" r="0" b="9525"/>
            <wp:docPr id="2020355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5539" name="Picture 1" descr="A screenshot of a graph&#10;&#10;Description automatically generated"/>
                    <pic:cNvPicPr/>
                  </pic:nvPicPr>
                  <pic:blipFill rotWithShape="1">
                    <a:blip r:embed="rId13"/>
                    <a:srcRect b="45935"/>
                    <a:stretch/>
                  </pic:blipFill>
                  <pic:spPr bwMode="auto">
                    <a:xfrm>
                      <a:off x="0" y="0"/>
                      <a:ext cx="5943600" cy="1304925"/>
                    </a:xfrm>
                    <a:prstGeom prst="rect">
                      <a:avLst/>
                    </a:prstGeom>
                    <a:ln>
                      <a:noFill/>
                    </a:ln>
                    <a:extLst>
                      <a:ext uri="{53640926-AAD7-44D8-BBD7-CCE9431645EC}">
                        <a14:shadowObscured xmlns:a14="http://schemas.microsoft.com/office/drawing/2010/main"/>
                      </a:ext>
                    </a:extLst>
                  </pic:spPr>
                </pic:pic>
              </a:graphicData>
            </a:graphic>
          </wp:inline>
        </w:drawing>
      </w:r>
    </w:p>
    <w:p w14:paraId="5C54B41B" w14:textId="77777777" w:rsidR="0077630F" w:rsidRDefault="0077630F" w:rsidP="002E7DFB"/>
    <w:p w14:paraId="22B3F279" w14:textId="77777777" w:rsidR="00881FD5" w:rsidRPr="0077630F" w:rsidRDefault="00881FD5" w:rsidP="0077630F">
      <w:pPr>
        <w:pStyle w:val="Heading5"/>
        <w:rPr>
          <w:b/>
          <w:bCs/>
        </w:rPr>
      </w:pPr>
      <w:bookmarkStart w:id="14" w:name="_Toc183390774"/>
      <w:r w:rsidRPr="0077630F">
        <w:rPr>
          <w:b/>
          <w:bCs/>
        </w:rPr>
        <w:lastRenderedPageBreak/>
        <w:t>Analysis 3: Day-of-Week Trading Patterns</w:t>
      </w:r>
      <w:bookmarkEnd w:id="14"/>
    </w:p>
    <w:p w14:paraId="6C69D456" w14:textId="77777777" w:rsidR="00881FD5" w:rsidRPr="00881FD5" w:rsidRDefault="00881FD5" w:rsidP="00881FD5">
      <w:r w:rsidRPr="00881FD5">
        <w:t>Query Purpose:</w:t>
      </w:r>
    </w:p>
    <w:p w14:paraId="3303D2EA" w14:textId="77777777" w:rsidR="00881FD5" w:rsidRPr="00881FD5" w:rsidRDefault="00881FD5" w:rsidP="00FA42C0">
      <w:pPr>
        <w:numPr>
          <w:ilvl w:val="0"/>
          <w:numId w:val="18"/>
        </w:numPr>
      </w:pPr>
      <w:r w:rsidRPr="00881FD5">
        <w:t>Analyzes trading behavior patterns across different days of the week</w:t>
      </w:r>
    </w:p>
    <w:p w14:paraId="34BF3599" w14:textId="77777777" w:rsidR="00881FD5" w:rsidRPr="00881FD5" w:rsidRDefault="00881FD5" w:rsidP="00FA42C0">
      <w:pPr>
        <w:numPr>
          <w:ilvl w:val="0"/>
          <w:numId w:val="18"/>
        </w:numPr>
      </w:pPr>
      <w:r w:rsidRPr="00881FD5">
        <w:t>Examines both volume and price movement characteristics</w:t>
      </w:r>
    </w:p>
    <w:p w14:paraId="2677F936" w14:textId="77777777" w:rsidR="00881FD5" w:rsidRPr="00881FD5" w:rsidRDefault="00881FD5" w:rsidP="00FA42C0">
      <w:pPr>
        <w:numPr>
          <w:ilvl w:val="0"/>
          <w:numId w:val="18"/>
        </w:numPr>
      </w:pPr>
      <w:r w:rsidRPr="00881FD5">
        <w:t>Identifies potential day-of-week effects in market activity</w:t>
      </w:r>
    </w:p>
    <w:p w14:paraId="03320FBA" w14:textId="77777777" w:rsidR="00E77516" w:rsidRPr="00E77516" w:rsidRDefault="00E77516" w:rsidP="00E77516">
      <w:r w:rsidRPr="00E77516">
        <w:t>Business Implications:</w:t>
      </w:r>
    </w:p>
    <w:p w14:paraId="3291F93C" w14:textId="77777777" w:rsidR="00E77516" w:rsidRPr="00E77516" w:rsidRDefault="00E77516" w:rsidP="00FA42C0">
      <w:pPr>
        <w:numPr>
          <w:ilvl w:val="0"/>
          <w:numId w:val="19"/>
        </w:numPr>
      </w:pPr>
      <w:r w:rsidRPr="00E77516">
        <w:t>Trading activity concentrates mid-week</w:t>
      </w:r>
    </w:p>
    <w:p w14:paraId="25134226" w14:textId="77777777" w:rsidR="00E77516" w:rsidRPr="00E77516" w:rsidRDefault="00E77516" w:rsidP="00FA42C0">
      <w:pPr>
        <w:numPr>
          <w:ilvl w:val="0"/>
          <w:numId w:val="19"/>
        </w:numPr>
      </w:pPr>
      <w:r w:rsidRPr="00E77516">
        <w:t>Day-of-week effects visible in both volume and price movements</w:t>
      </w:r>
    </w:p>
    <w:p w14:paraId="6EDD83FE" w14:textId="77777777" w:rsidR="00E77516" w:rsidRPr="00E77516" w:rsidRDefault="00E77516" w:rsidP="00FA42C0">
      <w:pPr>
        <w:numPr>
          <w:ilvl w:val="0"/>
          <w:numId w:val="19"/>
        </w:numPr>
      </w:pPr>
      <w:r w:rsidRPr="00E77516">
        <w:t>Could inform optimal trading day decisions</w:t>
      </w:r>
    </w:p>
    <w:p w14:paraId="431D9F75" w14:textId="77777777" w:rsidR="00E77516" w:rsidRPr="00E77516" w:rsidRDefault="00E77516" w:rsidP="00FA42C0">
      <w:pPr>
        <w:numPr>
          <w:ilvl w:val="0"/>
          <w:numId w:val="19"/>
        </w:numPr>
      </w:pPr>
      <w:r w:rsidRPr="00E77516">
        <w:t>Helps in understanding market liquidity patterns</w:t>
      </w:r>
    </w:p>
    <w:p w14:paraId="65DB43A2" w14:textId="55739125" w:rsidR="00620EC7" w:rsidRDefault="00967609" w:rsidP="007F67E0">
      <w:r w:rsidRPr="00967609">
        <w:rPr>
          <w:noProof/>
        </w:rPr>
        <w:drawing>
          <wp:inline distT="0" distB="0" distL="0" distR="0" wp14:anchorId="4D941906" wp14:editId="610F4990">
            <wp:extent cx="4420217" cy="1686160"/>
            <wp:effectExtent l="0" t="0" r="0" b="9525"/>
            <wp:docPr id="7969123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12363" name="Picture 1" descr="A screenshot of a computer code&#10;&#10;Description automatically generated"/>
                    <pic:cNvPicPr/>
                  </pic:nvPicPr>
                  <pic:blipFill>
                    <a:blip r:embed="rId14"/>
                    <a:stretch>
                      <a:fillRect/>
                    </a:stretch>
                  </pic:blipFill>
                  <pic:spPr>
                    <a:xfrm>
                      <a:off x="0" y="0"/>
                      <a:ext cx="4420217" cy="1686160"/>
                    </a:xfrm>
                    <a:prstGeom prst="rect">
                      <a:avLst/>
                    </a:prstGeom>
                  </pic:spPr>
                </pic:pic>
              </a:graphicData>
            </a:graphic>
          </wp:inline>
        </w:drawing>
      </w:r>
    </w:p>
    <w:p w14:paraId="569FD24F" w14:textId="420435A2" w:rsidR="00620EC7" w:rsidRDefault="002E7DFB" w:rsidP="007F67E0">
      <w:r w:rsidRPr="00881FD5">
        <w:rPr>
          <w:noProof/>
        </w:rPr>
        <w:drawing>
          <wp:inline distT="0" distB="0" distL="0" distR="0" wp14:anchorId="368A6750" wp14:editId="76AA2B45">
            <wp:extent cx="3381375" cy="1257300"/>
            <wp:effectExtent l="0" t="0" r="9525" b="0"/>
            <wp:docPr id="1267903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03258" name="Picture 1" descr="A screenshot of a computer&#10;&#10;Description automatically generated"/>
                    <pic:cNvPicPr/>
                  </pic:nvPicPr>
                  <pic:blipFill rotWithShape="1">
                    <a:blip r:embed="rId15"/>
                    <a:srcRect t="5700" r="14030" b="25896"/>
                    <a:stretch/>
                  </pic:blipFill>
                  <pic:spPr bwMode="auto">
                    <a:xfrm>
                      <a:off x="0" y="0"/>
                      <a:ext cx="3382393" cy="1257678"/>
                    </a:xfrm>
                    <a:prstGeom prst="rect">
                      <a:avLst/>
                    </a:prstGeom>
                    <a:ln>
                      <a:noFill/>
                    </a:ln>
                    <a:extLst>
                      <a:ext uri="{53640926-AAD7-44D8-BBD7-CCE9431645EC}">
                        <a14:shadowObscured xmlns:a14="http://schemas.microsoft.com/office/drawing/2010/main"/>
                      </a:ext>
                    </a:extLst>
                  </pic:spPr>
                </pic:pic>
              </a:graphicData>
            </a:graphic>
          </wp:inline>
        </w:drawing>
      </w:r>
    </w:p>
    <w:p w14:paraId="2F9D5B7A" w14:textId="77777777" w:rsidR="00620EC7" w:rsidRDefault="00620EC7" w:rsidP="007F67E0"/>
    <w:p w14:paraId="2A6FEB12" w14:textId="77777777" w:rsidR="002E7DFB" w:rsidRDefault="002E7DFB" w:rsidP="009F3D61"/>
    <w:p w14:paraId="0477CA78" w14:textId="77777777" w:rsidR="002E7DFB" w:rsidRDefault="002E7DFB" w:rsidP="009F3D61"/>
    <w:p w14:paraId="29DD828B" w14:textId="77777777" w:rsidR="002E7DFB" w:rsidRDefault="002E7DFB" w:rsidP="009F3D61"/>
    <w:p w14:paraId="5882BCC8" w14:textId="77777777" w:rsidR="002E7DFB" w:rsidRDefault="002E7DFB" w:rsidP="009F3D61"/>
    <w:p w14:paraId="204DF1A4" w14:textId="77777777" w:rsidR="002E7DFB" w:rsidRDefault="002E7DFB" w:rsidP="009F3D61"/>
    <w:p w14:paraId="3AEEE478" w14:textId="77777777" w:rsidR="002E7DFB" w:rsidRDefault="002E7DFB" w:rsidP="009F3D61"/>
    <w:p w14:paraId="4807C22E" w14:textId="77777777" w:rsidR="002E7DFB" w:rsidRDefault="002E7DFB" w:rsidP="009F3D61"/>
    <w:p w14:paraId="39F6216E" w14:textId="79BFA41C" w:rsidR="009F3D61" w:rsidRPr="0077630F" w:rsidRDefault="009F3D61" w:rsidP="0077630F">
      <w:pPr>
        <w:pStyle w:val="Heading5"/>
        <w:rPr>
          <w:b/>
          <w:bCs/>
        </w:rPr>
      </w:pPr>
      <w:bookmarkStart w:id="15" w:name="_Toc183390775"/>
      <w:r w:rsidRPr="0077630F">
        <w:rPr>
          <w:b/>
          <w:bCs/>
        </w:rPr>
        <w:lastRenderedPageBreak/>
        <w:t>Analysis 4: Quarterly Growth Comparison (S&amp;P 500 vs GDP)</w:t>
      </w:r>
      <w:bookmarkEnd w:id="15"/>
    </w:p>
    <w:p w14:paraId="326D4577" w14:textId="77777777" w:rsidR="009F3D61" w:rsidRPr="009F3D61" w:rsidRDefault="009F3D61" w:rsidP="009F3D61">
      <w:r w:rsidRPr="009F3D61">
        <w:t>Query Purpose:</w:t>
      </w:r>
    </w:p>
    <w:p w14:paraId="250EAB2B" w14:textId="77777777" w:rsidR="009F3D61" w:rsidRPr="009F3D61" w:rsidRDefault="009F3D61" w:rsidP="00FA42C0">
      <w:pPr>
        <w:numPr>
          <w:ilvl w:val="0"/>
          <w:numId w:val="20"/>
        </w:numPr>
      </w:pPr>
      <w:r w:rsidRPr="009F3D61">
        <w:t>Calculates and compares quarterly growth rates for both S&amp;P 500 and GDP</w:t>
      </w:r>
    </w:p>
    <w:p w14:paraId="3EC9484B" w14:textId="77777777" w:rsidR="009F3D61" w:rsidRPr="009F3D61" w:rsidRDefault="009F3D61" w:rsidP="00FA42C0">
      <w:pPr>
        <w:numPr>
          <w:ilvl w:val="0"/>
          <w:numId w:val="20"/>
        </w:numPr>
      </w:pPr>
      <w:r w:rsidRPr="009F3D61">
        <w:t>Uses lag functions to compute period-over-period changes</w:t>
      </w:r>
    </w:p>
    <w:p w14:paraId="4AE73D83" w14:textId="77777777" w:rsidR="009F3D61" w:rsidRPr="009F3D61" w:rsidRDefault="009F3D61" w:rsidP="00FA42C0">
      <w:pPr>
        <w:numPr>
          <w:ilvl w:val="0"/>
          <w:numId w:val="20"/>
        </w:numPr>
      </w:pPr>
      <w:r w:rsidRPr="009F3D61">
        <w:t>Enables direct comparison of market and economic growth patterns</w:t>
      </w:r>
    </w:p>
    <w:p w14:paraId="0A82CEA3" w14:textId="77777777" w:rsidR="00E77516" w:rsidRDefault="00E77516" w:rsidP="007F67E0"/>
    <w:p w14:paraId="0044896F" w14:textId="6EDD666C" w:rsidR="00E77516" w:rsidRDefault="007F3EFB" w:rsidP="007F67E0">
      <w:r w:rsidRPr="007F3EFB">
        <w:rPr>
          <w:noProof/>
        </w:rPr>
        <w:drawing>
          <wp:inline distT="0" distB="0" distL="0" distR="0" wp14:anchorId="3EAF41B5" wp14:editId="431C4949">
            <wp:extent cx="5943600" cy="3289300"/>
            <wp:effectExtent l="0" t="0" r="0" b="6350"/>
            <wp:docPr id="4416845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84578" name="Picture 1" descr="A screenshot of a computer code&#10;&#10;Description automatically generated"/>
                    <pic:cNvPicPr/>
                  </pic:nvPicPr>
                  <pic:blipFill>
                    <a:blip r:embed="rId16"/>
                    <a:stretch>
                      <a:fillRect/>
                    </a:stretch>
                  </pic:blipFill>
                  <pic:spPr>
                    <a:xfrm>
                      <a:off x="0" y="0"/>
                      <a:ext cx="5943600" cy="3289300"/>
                    </a:xfrm>
                    <a:prstGeom prst="rect">
                      <a:avLst/>
                    </a:prstGeom>
                  </pic:spPr>
                </pic:pic>
              </a:graphicData>
            </a:graphic>
          </wp:inline>
        </w:drawing>
      </w:r>
    </w:p>
    <w:p w14:paraId="033A4097" w14:textId="77777777" w:rsidR="007F3EFB" w:rsidRDefault="007F3EFB" w:rsidP="007F67E0"/>
    <w:p w14:paraId="0165DB68" w14:textId="235F0F88" w:rsidR="007F3EFB" w:rsidRDefault="0041098D" w:rsidP="007F67E0">
      <w:r w:rsidRPr="0041098D">
        <w:rPr>
          <w:noProof/>
        </w:rPr>
        <w:drawing>
          <wp:inline distT="0" distB="0" distL="0" distR="0" wp14:anchorId="10E3AB8D" wp14:editId="701A1131">
            <wp:extent cx="5943600" cy="1012825"/>
            <wp:effectExtent l="0" t="0" r="0" b="0"/>
            <wp:docPr id="54833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32238" name="Picture 1" descr="A screenshot of a computer&#10;&#10;Description automatically generated"/>
                    <pic:cNvPicPr/>
                  </pic:nvPicPr>
                  <pic:blipFill>
                    <a:blip r:embed="rId17"/>
                    <a:stretch>
                      <a:fillRect/>
                    </a:stretch>
                  </pic:blipFill>
                  <pic:spPr>
                    <a:xfrm>
                      <a:off x="0" y="0"/>
                      <a:ext cx="5943600" cy="1012825"/>
                    </a:xfrm>
                    <a:prstGeom prst="rect">
                      <a:avLst/>
                    </a:prstGeom>
                  </pic:spPr>
                </pic:pic>
              </a:graphicData>
            </a:graphic>
          </wp:inline>
        </w:drawing>
      </w:r>
    </w:p>
    <w:p w14:paraId="639FE43E" w14:textId="77777777" w:rsidR="002E7DFB" w:rsidRDefault="002E7DFB" w:rsidP="0037042E"/>
    <w:p w14:paraId="1BA0D65B" w14:textId="77777777" w:rsidR="002E7DFB" w:rsidRDefault="002E7DFB" w:rsidP="0037042E"/>
    <w:p w14:paraId="78184248" w14:textId="77777777" w:rsidR="002E7DFB" w:rsidRDefault="002E7DFB" w:rsidP="0037042E"/>
    <w:p w14:paraId="693974EE" w14:textId="77777777" w:rsidR="002E7DFB" w:rsidRDefault="002E7DFB" w:rsidP="0037042E"/>
    <w:p w14:paraId="4726E014" w14:textId="77777777" w:rsidR="002E7DFB" w:rsidRDefault="002E7DFB" w:rsidP="0037042E"/>
    <w:p w14:paraId="7D80D4DD" w14:textId="77777777" w:rsidR="002E7DFB" w:rsidRDefault="002E7DFB" w:rsidP="0037042E"/>
    <w:p w14:paraId="7B8605BF" w14:textId="396F4A44" w:rsidR="0037042E" w:rsidRPr="0077630F" w:rsidRDefault="0037042E" w:rsidP="0077630F">
      <w:pPr>
        <w:pStyle w:val="Heading5"/>
        <w:rPr>
          <w:b/>
          <w:bCs/>
        </w:rPr>
      </w:pPr>
      <w:bookmarkStart w:id="16" w:name="_Toc183390776"/>
      <w:r w:rsidRPr="0077630F">
        <w:rPr>
          <w:b/>
          <w:bCs/>
        </w:rPr>
        <w:lastRenderedPageBreak/>
        <w:t>Analysis 5: S&amp;P 500 and GDP Correlation Study</w:t>
      </w:r>
      <w:bookmarkEnd w:id="16"/>
    </w:p>
    <w:p w14:paraId="5F976EB7" w14:textId="77777777" w:rsidR="0037042E" w:rsidRPr="0037042E" w:rsidRDefault="0037042E" w:rsidP="0037042E">
      <w:r w:rsidRPr="0037042E">
        <w:t>Query Purpose:</w:t>
      </w:r>
    </w:p>
    <w:p w14:paraId="4F7F45E9" w14:textId="77777777" w:rsidR="0037042E" w:rsidRPr="0037042E" w:rsidRDefault="0037042E" w:rsidP="00FA42C0">
      <w:pPr>
        <w:numPr>
          <w:ilvl w:val="0"/>
          <w:numId w:val="21"/>
        </w:numPr>
      </w:pPr>
      <w:r w:rsidRPr="0037042E">
        <w:t>Calculates the statistical correlation between S&amp;P 500 prices and lagged GDP values</w:t>
      </w:r>
    </w:p>
    <w:p w14:paraId="60A9D6E8" w14:textId="77777777" w:rsidR="0037042E" w:rsidRPr="0037042E" w:rsidRDefault="0037042E" w:rsidP="00FA42C0">
      <w:pPr>
        <w:numPr>
          <w:ilvl w:val="0"/>
          <w:numId w:val="21"/>
        </w:numPr>
      </w:pPr>
      <w:r w:rsidRPr="0037042E">
        <w:t>Uses sophisticated windowing functions to align time periods</w:t>
      </w:r>
    </w:p>
    <w:p w14:paraId="227B2FB7" w14:textId="1EA50B25" w:rsidR="002E7DFB" w:rsidRPr="0037042E" w:rsidRDefault="0037042E" w:rsidP="002E7DFB">
      <w:pPr>
        <w:numPr>
          <w:ilvl w:val="0"/>
          <w:numId w:val="21"/>
        </w:numPr>
      </w:pPr>
      <w:r w:rsidRPr="0037042E">
        <w:t>Measures the strength of relationship between market and economic growth</w:t>
      </w:r>
    </w:p>
    <w:p w14:paraId="0C9EE951" w14:textId="1AB7AB97" w:rsidR="0041098D" w:rsidRDefault="00140B53" w:rsidP="007F67E0">
      <w:pPr>
        <w:rPr>
          <w:b/>
          <w:bCs/>
        </w:rPr>
      </w:pPr>
      <w:r w:rsidRPr="00140B53">
        <w:rPr>
          <w:b/>
          <w:bCs/>
          <w:noProof/>
        </w:rPr>
        <w:drawing>
          <wp:inline distT="0" distB="0" distL="0" distR="0" wp14:anchorId="133E8C83" wp14:editId="7ED8D6DF">
            <wp:extent cx="5572903" cy="4153480"/>
            <wp:effectExtent l="0" t="0" r="8890" b="0"/>
            <wp:docPr id="18284529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52942" name="Picture 1" descr="A screenshot of a computer code&#10;&#10;Description automatically generated"/>
                    <pic:cNvPicPr/>
                  </pic:nvPicPr>
                  <pic:blipFill>
                    <a:blip r:embed="rId18"/>
                    <a:stretch>
                      <a:fillRect/>
                    </a:stretch>
                  </pic:blipFill>
                  <pic:spPr>
                    <a:xfrm>
                      <a:off x="0" y="0"/>
                      <a:ext cx="5572903" cy="4153480"/>
                    </a:xfrm>
                    <a:prstGeom prst="rect">
                      <a:avLst/>
                    </a:prstGeom>
                  </pic:spPr>
                </pic:pic>
              </a:graphicData>
            </a:graphic>
          </wp:inline>
        </w:drawing>
      </w:r>
    </w:p>
    <w:p w14:paraId="33F707C6" w14:textId="7472A4DA" w:rsidR="0041098D" w:rsidRDefault="00D039A9" w:rsidP="007F67E0">
      <w:pPr>
        <w:rPr>
          <w:b/>
          <w:bCs/>
        </w:rPr>
      </w:pPr>
      <w:r w:rsidRPr="00D32082">
        <w:rPr>
          <w:noProof/>
        </w:rPr>
        <w:drawing>
          <wp:inline distT="0" distB="0" distL="0" distR="0" wp14:anchorId="6D2B4311" wp14:editId="0D27AD22">
            <wp:extent cx="1962150" cy="476250"/>
            <wp:effectExtent l="0" t="0" r="0" b="0"/>
            <wp:docPr id="96294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072" name="Picture 1" descr="A screenshot of a computer&#10;&#10;Description automatically generated"/>
                    <pic:cNvPicPr/>
                  </pic:nvPicPr>
                  <pic:blipFill rotWithShape="1">
                    <a:blip r:embed="rId19"/>
                    <a:srcRect r="14876" b="50000"/>
                    <a:stretch/>
                  </pic:blipFill>
                  <pic:spPr bwMode="auto">
                    <a:xfrm>
                      <a:off x="0" y="0"/>
                      <a:ext cx="1962426" cy="476317"/>
                    </a:xfrm>
                    <a:prstGeom prst="rect">
                      <a:avLst/>
                    </a:prstGeom>
                    <a:ln>
                      <a:noFill/>
                    </a:ln>
                    <a:extLst>
                      <a:ext uri="{53640926-AAD7-44D8-BBD7-CCE9431645EC}">
                        <a14:shadowObscured xmlns:a14="http://schemas.microsoft.com/office/drawing/2010/main"/>
                      </a:ext>
                    </a:extLst>
                  </pic:spPr>
                </pic:pic>
              </a:graphicData>
            </a:graphic>
          </wp:inline>
        </w:drawing>
      </w:r>
    </w:p>
    <w:p w14:paraId="0F30683E" w14:textId="77777777" w:rsidR="0037042E" w:rsidRPr="0037042E" w:rsidRDefault="0037042E" w:rsidP="0037042E">
      <w:r w:rsidRPr="0037042E">
        <w:t>Key Finding:</w:t>
      </w:r>
    </w:p>
    <w:p w14:paraId="4F1BBDAE" w14:textId="77777777" w:rsidR="0037042E" w:rsidRPr="0037042E" w:rsidRDefault="0037042E" w:rsidP="00FA42C0">
      <w:pPr>
        <w:numPr>
          <w:ilvl w:val="0"/>
          <w:numId w:val="22"/>
        </w:numPr>
      </w:pPr>
      <w:r w:rsidRPr="0037042E">
        <w:t xml:space="preserve">Strong Positive Correlation: 0.923 </w:t>
      </w:r>
    </w:p>
    <w:p w14:paraId="7648AE06" w14:textId="77777777" w:rsidR="0037042E" w:rsidRPr="0037042E" w:rsidRDefault="0037042E" w:rsidP="00FA42C0">
      <w:pPr>
        <w:numPr>
          <w:ilvl w:val="1"/>
          <w:numId w:val="22"/>
        </w:numPr>
      </w:pPr>
      <w:r w:rsidRPr="0037042E">
        <w:t>Indicates very strong relationship between market performance and GDP</w:t>
      </w:r>
    </w:p>
    <w:p w14:paraId="5D491902" w14:textId="77777777" w:rsidR="0037042E" w:rsidRPr="0037042E" w:rsidRDefault="0037042E" w:rsidP="00FA42C0">
      <w:pPr>
        <w:numPr>
          <w:ilvl w:val="1"/>
          <w:numId w:val="22"/>
        </w:numPr>
      </w:pPr>
      <w:r w:rsidRPr="0037042E">
        <w:t>Correlation coefficient close to 1 shows nearly linear relationship</w:t>
      </w:r>
    </w:p>
    <w:p w14:paraId="5851533E" w14:textId="77777777" w:rsidR="0037042E" w:rsidRPr="0037042E" w:rsidRDefault="0037042E" w:rsidP="00FA42C0">
      <w:pPr>
        <w:numPr>
          <w:ilvl w:val="1"/>
          <w:numId w:val="22"/>
        </w:numPr>
      </w:pPr>
      <w:r w:rsidRPr="0037042E">
        <w:t>Suggests market largely moves in tandem with economic growth</w:t>
      </w:r>
    </w:p>
    <w:p w14:paraId="24732AF6" w14:textId="6762485B" w:rsidR="0037042E" w:rsidRPr="0037042E" w:rsidRDefault="00AD6E4E" w:rsidP="00AD6E4E">
      <w:r w:rsidRPr="00AD6E4E">
        <w:t>This analysis provides statistical validation of the relationship between economic growth and market performance, supporting evidence-based decision making in investment and policy contexts.</w:t>
      </w:r>
    </w:p>
    <w:p w14:paraId="56D64245" w14:textId="77777777" w:rsidR="0037042E" w:rsidRDefault="0037042E" w:rsidP="007F67E0"/>
    <w:p w14:paraId="30A1F3AE" w14:textId="77777777" w:rsidR="00C65E9B" w:rsidRPr="00C65E9B" w:rsidRDefault="00C65E9B" w:rsidP="0077630F">
      <w:pPr>
        <w:pStyle w:val="Heading5"/>
        <w:rPr>
          <w:b/>
          <w:bCs/>
        </w:rPr>
      </w:pPr>
      <w:bookmarkStart w:id="17" w:name="_Toc183390777"/>
      <w:r w:rsidRPr="00C65E9B">
        <w:rPr>
          <w:b/>
          <w:bCs/>
        </w:rPr>
        <w:t>Analysis 6: S&amp;P 500 and Housing Price Index Correlation Study</w:t>
      </w:r>
      <w:bookmarkEnd w:id="17"/>
    </w:p>
    <w:p w14:paraId="500E1FD2" w14:textId="77777777" w:rsidR="00C65E9B" w:rsidRPr="00C65E9B" w:rsidRDefault="00C65E9B" w:rsidP="00C65E9B">
      <w:r w:rsidRPr="00C65E9B">
        <w:t>Query Purpose:</w:t>
      </w:r>
    </w:p>
    <w:p w14:paraId="48E78B50" w14:textId="77777777" w:rsidR="00C65E9B" w:rsidRPr="00C65E9B" w:rsidRDefault="00C65E9B" w:rsidP="00FA42C0">
      <w:pPr>
        <w:numPr>
          <w:ilvl w:val="0"/>
          <w:numId w:val="23"/>
        </w:numPr>
      </w:pPr>
      <w:r w:rsidRPr="00C65E9B">
        <w:t>Examines relationship between stock market and housing market</w:t>
      </w:r>
    </w:p>
    <w:p w14:paraId="75D85599" w14:textId="77777777" w:rsidR="00C65E9B" w:rsidRPr="00C65E9B" w:rsidRDefault="00C65E9B" w:rsidP="00FA42C0">
      <w:pPr>
        <w:numPr>
          <w:ilvl w:val="0"/>
          <w:numId w:val="23"/>
        </w:numPr>
      </w:pPr>
      <w:r w:rsidRPr="00C65E9B">
        <w:t>Similar methodology to GDP correlation, but focuses on real estate sector</w:t>
      </w:r>
    </w:p>
    <w:p w14:paraId="0758D11C" w14:textId="77777777" w:rsidR="00C65E9B" w:rsidRPr="00C65E9B" w:rsidRDefault="00C65E9B" w:rsidP="00FA42C0">
      <w:pPr>
        <w:numPr>
          <w:ilvl w:val="0"/>
          <w:numId w:val="23"/>
        </w:numPr>
      </w:pPr>
      <w:r w:rsidRPr="00C65E9B">
        <w:t>Uses lagged values to account for potential delayed effects</w:t>
      </w:r>
    </w:p>
    <w:p w14:paraId="01202051" w14:textId="77777777" w:rsidR="00154238" w:rsidRDefault="00154238" w:rsidP="007F67E0"/>
    <w:p w14:paraId="1B03826A" w14:textId="3D513B30" w:rsidR="00154238" w:rsidRDefault="00154238" w:rsidP="007F67E0">
      <w:r w:rsidRPr="00154238">
        <w:rPr>
          <w:noProof/>
        </w:rPr>
        <w:drawing>
          <wp:inline distT="0" distB="0" distL="0" distR="0" wp14:anchorId="7058691E" wp14:editId="2BC735FF">
            <wp:extent cx="4527260" cy="3438525"/>
            <wp:effectExtent l="0" t="0" r="6985" b="0"/>
            <wp:docPr id="4307796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79659" name="Picture 1" descr="A screenshot of a computer code&#10;&#10;Description automatically generated"/>
                    <pic:cNvPicPr/>
                  </pic:nvPicPr>
                  <pic:blipFill>
                    <a:blip r:embed="rId20"/>
                    <a:stretch>
                      <a:fillRect/>
                    </a:stretch>
                  </pic:blipFill>
                  <pic:spPr>
                    <a:xfrm>
                      <a:off x="0" y="0"/>
                      <a:ext cx="4532789" cy="3442725"/>
                    </a:xfrm>
                    <a:prstGeom prst="rect">
                      <a:avLst/>
                    </a:prstGeom>
                  </pic:spPr>
                </pic:pic>
              </a:graphicData>
            </a:graphic>
          </wp:inline>
        </w:drawing>
      </w:r>
    </w:p>
    <w:p w14:paraId="4EAEFBCE" w14:textId="12F30F41" w:rsidR="00C65E9B" w:rsidRDefault="00C65E9B" w:rsidP="00C65E9B">
      <w:r w:rsidRPr="001969FB">
        <w:rPr>
          <w:noProof/>
        </w:rPr>
        <w:drawing>
          <wp:inline distT="0" distB="0" distL="0" distR="0" wp14:anchorId="52C3F5C0" wp14:editId="42B79DE4">
            <wp:extent cx="1886213" cy="590632"/>
            <wp:effectExtent l="0" t="0" r="0" b="0"/>
            <wp:docPr id="1807107676"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07676" name="Picture 1" descr="A computer screen shot of a computer error&#10;&#10;Description automatically generated"/>
                    <pic:cNvPicPr/>
                  </pic:nvPicPr>
                  <pic:blipFill>
                    <a:blip r:embed="rId21"/>
                    <a:stretch>
                      <a:fillRect/>
                    </a:stretch>
                  </pic:blipFill>
                  <pic:spPr>
                    <a:xfrm>
                      <a:off x="0" y="0"/>
                      <a:ext cx="1886213" cy="590632"/>
                    </a:xfrm>
                    <a:prstGeom prst="rect">
                      <a:avLst/>
                    </a:prstGeom>
                  </pic:spPr>
                </pic:pic>
              </a:graphicData>
            </a:graphic>
          </wp:inline>
        </w:drawing>
      </w:r>
    </w:p>
    <w:p w14:paraId="349B5E09" w14:textId="77777777" w:rsidR="00C65E9B" w:rsidRPr="00C65E9B" w:rsidRDefault="00C65E9B" w:rsidP="00C65E9B">
      <w:r w:rsidRPr="00C65E9B">
        <w:t>Key Finding:</w:t>
      </w:r>
    </w:p>
    <w:p w14:paraId="477356DC" w14:textId="77777777" w:rsidR="00C65E9B" w:rsidRPr="00C65E9B" w:rsidRDefault="00C65E9B" w:rsidP="00FA42C0">
      <w:pPr>
        <w:numPr>
          <w:ilvl w:val="0"/>
          <w:numId w:val="24"/>
        </w:numPr>
      </w:pPr>
      <w:r w:rsidRPr="00C65E9B">
        <w:t xml:space="preserve">Strong Positive Correlation: 0.901 </w:t>
      </w:r>
    </w:p>
    <w:p w14:paraId="2ED81CBA" w14:textId="77777777" w:rsidR="00C65E9B" w:rsidRPr="00C65E9B" w:rsidRDefault="00C65E9B" w:rsidP="00FA42C0">
      <w:pPr>
        <w:numPr>
          <w:ilvl w:val="1"/>
          <w:numId w:val="24"/>
        </w:numPr>
      </w:pPr>
      <w:r w:rsidRPr="00C65E9B">
        <w:t>Very strong relationship between stock and housing markets</w:t>
      </w:r>
    </w:p>
    <w:p w14:paraId="33D2C724" w14:textId="77777777" w:rsidR="00C65E9B" w:rsidRPr="00C65E9B" w:rsidRDefault="00C65E9B" w:rsidP="00FA42C0">
      <w:pPr>
        <w:numPr>
          <w:ilvl w:val="1"/>
          <w:numId w:val="24"/>
        </w:numPr>
      </w:pPr>
      <w:r w:rsidRPr="00C65E9B">
        <w:t>Slightly lower than GDP correlation (0.923)</w:t>
      </w:r>
    </w:p>
    <w:p w14:paraId="382E7311" w14:textId="77777777" w:rsidR="00C65E9B" w:rsidRPr="00C65E9B" w:rsidRDefault="00C65E9B" w:rsidP="00FA42C0">
      <w:pPr>
        <w:numPr>
          <w:ilvl w:val="1"/>
          <w:numId w:val="24"/>
        </w:numPr>
      </w:pPr>
      <w:r w:rsidRPr="00C65E9B">
        <w:t>Indicates strong wealth effect between markets</w:t>
      </w:r>
    </w:p>
    <w:p w14:paraId="0A289DCC" w14:textId="2FFB40D7" w:rsidR="0077630F" w:rsidRPr="0077630F" w:rsidRDefault="00B73ECA" w:rsidP="0077630F">
      <w:pPr>
        <w:pStyle w:val="whitespace-pre-wrap"/>
        <w:rPr>
          <w:rFonts w:asciiTheme="minorHAnsi" w:eastAsiaTheme="minorHAnsi" w:hAnsiTheme="minorHAnsi" w:cstheme="minorBidi"/>
          <w:kern w:val="2"/>
          <w:sz w:val="22"/>
          <w:szCs w:val="22"/>
          <w14:ligatures w14:val="standardContextual"/>
        </w:rPr>
      </w:pPr>
      <w:r w:rsidRPr="0077630F">
        <w:rPr>
          <w:rFonts w:asciiTheme="minorHAnsi" w:eastAsiaTheme="minorHAnsi" w:hAnsiTheme="minorHAnsi" w:cstheme="minorBidi"/>
          <w:kern w:val="2"/>
          <w:sz w:val="22"/>
          <w:szCs w:val="22"/>
          <w14:ligatures w14:val="standardContextual"/>
        </w:rPr>
        <w:t>This analysis shows how two major asset classes (stocks and real estate) move together, which is crucial for investment strategy and economic policy considerations.</w:t>
      </w:r>
    </w:p>
    <w:p w14:paraId="5476FAE6" w14:textId="77777777" w:rsidR="00197DF8" w:rsidRPr="00197DF8" w:rsidRDefault="00197DF8" w:rsidP="0077630F">
      <w:pPr>
        <w:pStyle w:val="Heading5"/>
        <w:rPr>
          <w:b/>
          <w:bCs/>
        </w:rPr>
      </w:pPr>
      <w:bookmarkStart w:id="18" w:name="_Toc183390778"/>
      <w:r w:rsidRPr="00197DF8">
        <w:rPr>
          <w:b/>
          <w:bCs/>
        </w:rPr>
        <w:lastRenderedPageBreak/>
        <w:t>Analysis 7: Housing Market Annual Growth Trends</w:t>
      </w:r>
      <w:bookmarkEnd w:id="18"/>
    </w:p>
    <w:p w14:paraId="73842650" w14:textId="77777777" w:rsidR="00197DF8" w:rsidRPr="00197DF8" w:rsidRDefault="00197DF8" w:rsidP="00197DF8">
      <w:pPr>
        <w:pStyle w:val="whitespace-pre-wrap"/>
        <w:rPr>
          <w:rFonts w:asciiTheme="minorHAnsi" w:eastAsiaTheme="minorHAnsi" w:hAnsiTheme="minorHAnsi" w:cstheme="minorBidi"/>
          <w:kern w:val="2"/>
          <w:sz w:val="22"/>
          <w:szCs w:val="22"/>
          <w14:ligatures w14:val="standardContextual"/>
        </w:rPr>
      </w:pPr>
      <w:r w:rsidRPr="00197DF8">
        <w:rPr>
          <w:rFonts w:asciiTheme="minorHAnsi" w:eastAsiaTheme="minorHAnsi" w:hAnsiTheme="minorHAnsi" w:cstheme="minorBidi"/>
          <w:kern w:val="2"/>
          <w:sz w:val="22"/>
          <w:szCs w:val="22"/>
          <w14:ligatures w14:val="standardContextual"/>
        </w:rPr>
        <w:t>Query Purpose:</w:t>
      </w:r>
    </w:p>
    <w:p w14:paraId="2FBEC652" w14:textId="77777777" w:rsidR="00197DF8" w:rsidRPr="00197DF8" w:rsidRDefault="00197DF8" w:rsidP="0077630F">
      <w:pPr>
        <w:pStyle w:val="whitespace-pre-wrap"/>
        <w:numPr>
          <w:ilvl w:val="0"/>
          <w:numId w:val="66"/>
        </w:numPr>
        <w:rPr>
          <w:rFonts w:asciiTheme="minorHAnsi" w:eastAsiaTheme="minorHAnsi" w:hAnsiTheme="minorHAnsi" w:cstheme="minorBidi"/>
          <w:kern w:val="2"/>
          <w:sz w:val="22"/>
          <w:szCs w:val="22"/>
          <w14:ligatures w14:val="standardContextual"/>
        </w:rPr>
      </w:pPr>
      <w:r w:rsidRPr="00197DF8">
        <w:rPr>
          <w:rFonts w:asciiTheme="minorHAnsi" w:eastAsiaTheme="minorHAnsi" w:hAnsiTheme="minorHAnsi" w:cstheme="minorBidi"/>
          <w:kern w:val="2"/>
          <w:sz w:val="22"/>
          <w:szCs w:val="22"/>
          <w14:ligatures w14:val="standardContextual"/>
        </w:rPr>
        <w:t>Analyzes year-over-year changes in Housing Price Index (HPI)</w:t>
      </w:r>
    </w:p>
    <w:p w14:paraId="44CB09FC" w14:textId="77777777" w:rsidR="00197DF8" w:rsidRPr="00197DF8" w:rsidRDefault="00197DF8" w:rsidP="0077630F">
      <w:pPr>
        <w:pStyle w:val="whitespace-pre-wrap"/>
        <w:numPr>
          <w:ilvl w:val="0"/>
          <w:numId w:val="66"/>
        </w:numPr>
        <w:rPr>
          <w:rFonts w:asciiTheme="minorHAnsi" w:eastAsiaTheme="minorHAnsi" w:hAnsiTheme="minorHAnsi" w:cstheme="minorBidi"/>
          <w:kern w:val="2"/>
          <w:sz w:val="22"/>
          <w:szCs w:val="22"/>
          <w14:ligatures w14:val="standardContextual"/>
        </w:rPr>
      </w:pPr>
      <w:r w:rsidRPr="00197DF8">
        <w:rPr>
          <w:rFonts w:asciiTheme="minorHAnsi" w:eastAsiaTheme="minorHAnsi" w:hAnsiTheme="minorHAnsi" w:cstheme="minorBidi"/>
          <w:kern w:val="2"/>
          <w:sz w:val="22"/>
          <w:szCs w:val="22"/>
          <w14:ligatures w14:val="standardContextual"/>
        </w:rPr>
        <w:t>Calculates average annual HPI values</w:t>
      </w:r>
    </w:p>
    <w:p w14:paraId="3C4AEC5A" w14:textId="77777777" w:rsidR="00197DF8" w:rsidRPr="00197DF8" w:rsidRDefault="00197DF8" w:rsidP="0077630F">
      <w:pPr>
        <w:pStyle w:val="whitespace-pre-wrap"/>
        <w:numPr>
          <w:ilvl w:val="0"/>
          <w:numId w:val="66"/>
        </w:numPr>
        <w:rPr>
          <w:rFonts w:asciiTheme="minorHAnsi" w:eastAsiaTheme="minorHAnsi" w:hAnsiTheme="minorHAnsi" w:cstheme="minorBidi"/>
          <w:kern w:val="2"/>
          <w:sz w:val="22"/>
          <w:szCs w:val="22"/>
          <w14:ligatures w14:val="standardContextual"/>
        </w:rPr>
      </w:pPr>
      <w:r w:rsidRPr="00197DF8">
        <w:rPr>
          <w:rFonts w:asciiTheme="minorHAnsi" w:eastAsiaTheme="minorHAnsi" w:hAnsiTheme="minorHAnsi" w:cstheme="minorBidi"/>
          <w:kern w:val="2"/>
          <w:sz w:val="22"/>
          <w:szCs w:val="22"/>
          <w14:ligatures w14:val="standardContextual"/>
        </w:rPr>
        <w:t>Computes percentage growth rates</w:t>
      </w:r>
    </w:p>
    <w:p w14:paraId="215A1070" w14:textId="77777777" w:rsidR="00197DF8" w:rsidRPr="00197DF8" w:rsidRDefault="00197DF8" w:rsidP="0077630F">
      <w:pPr>
        <w:pStyle w:val="whitespace-pre-wrap"/>
        <w:numPr>
          <w:ilvl w:val="0"/>
          <w:numId w:val="66"/>
        </w:numPr>
        <w:rPr>
          <w:rFonts w:asciiTheme="minorHAnsi" w:eastAsiaTheme="minorHAnsi" w:hAnsiTheme="minorHAnsi" w:cstheme="minorBidi"/>
          <w:kern w:val="2"/>
          <w:sz w:val="22"/>
          <w:szCs w:val="22"/>
          <w14:ligatures w14:val="standardContextual"/>
        </w:rPr>
      </w:pPr>
      <w:r w:rsidRPr="00197DF8">
        <w:rPr>
          <w:rFonts w:asciiTheme="minorHAnsi" w:eastAsiaTheme="minorHAnsi" w:hAnsiTheme="minorHAnsi" w:cstheme="minorBidi"/>
          <w:kern w:val="2"/>
          <w:sz w:val="22"/>
          <w:szCs w:val="22"/>
          <w14:ligatures w14:val="standardContextual"/>
        </w:rPr>
        <w:t>Identifies long-term housing market trends</w:t>
      </w:r>
    </w:p>
    <w:p w14:paraId="0259BF87" w14:textId="77777777" w:rsidR="006773DA" w:rsidRPr="006773DA" w:rsidRDefault="006773DA" w:rsidP="006773DA">
      <w:pPr>
        <w:pStyle w:val="whitespace-pre-wrap"/>
        <w:rPr>
          <w:rFonts w:asciiTheme="minorHAnsi" w:eastAsiaTheme="minorHAnsi" w:hAnsiTheme="minorHAnsi" w:cstheme="minorBidi"/>
          <w:kern w:val="2"/>
          <w:sz w:val="22"/>
          <w:szCs w:val="22"/>
          <w14:ligatures w14:val="standardContextual"/>
        </w:rPr>
      </w:pPr>
      <w:r w:rsidRPr="006773DA">
        <w:rPr>
          <w:rFonts w:asciiTheme="minorHAnsi" w:eastAsiaTheme="minorHAnsi" w:hAnsiTheme="minorHAnsi" w:cstheme="minorBidi"/>
          <w:kern w:val="2"/>
          <w:sz w:val="22"/>
          <w:szCs w:val="22"/>
          <w14:ligatures w14:val="standardContextual"/>
        </w:rPr>
        <w:t>Business Value:</w:t>
      </w:r>
    </w:p>
    <w:p w14:paraId="48154861" w14:textId="77777777" w:rsidR="006773DA" w:rsidRPr="006773DA" w:rsidRDefault="006773DA" w:rsidP="0077630F">
      <w:pPr>
        <w:pStyle w:val="whitespace-pre-wrap"/>
        <w:numPr>
          <w:ilvl w:val="0"/>
          <w:numId w:val="67"/>
        </w:numPr>
        <w:rPr>
          <w:rFonts w:asciiTheme="minorHAnsi" w:eastAsiaTheme="minorHAnsi" w:hAnsiTheme="minorHAnsi" w:cstheme="minorBidi"/>
          <w:kern w:val="2"/>
          <w:sz w:val="22"/>
          <w:szCs w:val="22"/>
          <w14:ligatures w14:val="standardContextual"/>
        </w:rPr>
      </w:pPr>
      <w:r w:rsidRPr="006773DA">
        <w:rPr>
          <w:rFonts w:asciiTheme="minorHAnsi" w:eastAsiaTheme="minorHAnsi" w:hAnsiTheme="minorHAnsi" w:cstheme="minorBidi"/>
          <w:kern w:val="2"/>
          <w:sz w:val="22"/>
          <w:szCs w:val="22"/>
          <w14:ligatures w14:val="standardContextual"/>
        </w:rPr>
        <w:t>Identifies housing market cycles</w:t>
      </w:r>
    </w:p>
    <w:p w14:paraId="73867CC4" w14:textId="77777777" w:rsidR="006773DA" w:rsidRPr="006773DA" w:rsidRDefault="006773DA" w:rsidP="0077630F">
      <w:pPr>
        <w:pStyle w:val="whitespace-pre-wrap"/>
        <w:numPr>
          <w:ilvl w:val="0"/>
          <w:numId w:val="67"/>
        </w:numPr>
        <w:rPr>
          <w:rFonts w:asciiTheme="minorHAnsi" w:eastAsiaTheme="minorHAnsi" w:hAnsiTheme="minorHAnsi" w:cstheme="minorBidi"/>
          <w:kern w:val="2"/>
          <w:sz w:val="22"/>
          <w:szCs w:val="22"/>
          <w14:ligatures w14:val="standardContextual"/>
        </w:rPr>
      </w:pPr>
      <w:r w:rsidRPr="006773DA">
        <w:rPr>
          <w:rFonts w:asciiTheme="minorHAnsi" w:eastAsiaTheme="minorHAnsi" w:hAnsiTheme="minorHAnsi" w:cstheme="minorBidi"/>
          <w:kern w:val="2"/>
          <w:sz w:val="22"/>
          <w:szCs w:val="22"/>
          <w14:ligatures w14:val="standardContextual"/>
        </w:rPr>
        <w:t>Shows periods of rapid appreciation</w:t>
      </w:r>
    </w:p>
    <w:p w14:paraId="096D5FA5" w14:textId="77777777" w:rsidR="006773DA" w:rsidRPr="006773DA" w:rsidRDefault="006773DA" w:rsidP="0077630F">
      <w:pPr>
        <w:pStyle w:val="whitespace-pre-wrap"/>
        <w:numPr>
          <w:ilvl w:val="0"/>
          <w:numId w:val="67"/>
        </w:numPr>
        <w:rPr>
          <w:rFonts w:asciiTheme="minorHAnsi" w:eastAsiaTheme="minorHAnsi" w:hAnsiTheme="minorHAnsi" w:cstheme="minorBidi"/>
          <w:kern w:val="2"/>
          <w:sz w:val="22"/>
          <w:szCs w:val="22"/>
          <w14:ligatures w14:val="standardContextual"/>
        </w:rPr>
      </w:pPr>
      <w:r w:rsidRPr="006773DA">
        <w:rPr>
          <w:rFonts w:asciiTheme="minorHAnsi" w:eastAsiaTheme="minorHAnsi" w:hAnsiTheme="minorHAnsi" w:cstheme="minorBidi"/>
          <w:kern w:val="2"/>
          <w:sz w:val="22"/>
          <w:szCs w:val="22"/>
          <w14:ligatures w14:val="standardContextual"/>
        </w:rPr>
        <w:t>Helps understand real estate market dynamics</w:t>
      </w:r>
    </w:p>
    <w:p w14:paraId="4289203E" w14:textId="57B20037" w:rsidR="00B73ECA" w:rsidRDefault="006773DA" w:rsidP="00B73ECA">
      <w:pPr>
        <w:pStyle w:val="whitespace-pre-wrap"/>
      </w:pPr>
      <w:r w:rsidRPr="006773DA">
        <w:rPr>
          <w:noProof/>
        </w:rPr>
        <w:drawing>
          <wp:inline distT="0" distB="0" distL="0" distR="0" wp14:anchorId="62BF1AE4" wp14:editId="7B694045">
            <wp:extent cx="4925112" cy="1943371"/>
            <wp:effectExtent l="0" t="0" r="8890" b="0"/>
            <wp:docPr id="75459158"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9158" name="Picture 1" descr="A text on a white background&#10;&#10;Description automatically generated"/>
                    <pic:cNvPicPr/>
                  </pic:nvPicPr>
                  <pic:blipFill>
                    <a:blip r:embed="rId22"/>
                    <a:stretch>
                      <a:fillRect/>
                    </a:stretch>
                  </pic:blipFill>
                  <pic:spPr>
                    <a:xfrm>
                      <a:off x="0" y="0"/>
                      <a:ext cx="4925112" cy="1943371"/>
                    </a:xfrm>
                    <a:prstGeom prst="rect">
                      <a:avLst/>
                    </a:prstGeom>
                  </pic:spPr>
                </pic:pic>
              </a:graphicData>
            </a:graphic>
          </wp:inline>
        </w:drawing>
      </w:r>
    </w:p>
    <w:p w14:paraId="33698541" w14:textId="309CD272" w:rsidR="00C65E9B" w:rsidRDefault="00B917FA" w:rsidP="007F67E0">
      <w:r w:rsidRPr="00B917FA">
        <w:rPr>
          <w:noProof/>
        </w:rPr>
        <w:drawing>
          <wp:inline distT="0" distB="0" distL="0" distR="0" wp14:anchorId="0B42234D" wp14:editId="57004BF2">
            <wp:extent cx="3905795" cy="1200318"/>
            <wp:effectExtent l="0" t="0" r="0" b="0"/>
            <wp:docPr id="5589155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5579" name="Picture 1" descr="A screenshot of a graph&#10;&#10;Description automatically generated"/>
                    <pic:cNvPicPr/>
                  </pic:nvPicPr>
                  <pic:blipFill>
                    <a:blip r:embed="rId23"/>
                    <a:stretch>
                      <a:fillRect/>
                    </a:stretch>
                  </pic:blipFill>
                  <pic:spPr>
                    <a:xfrm>
                      <a:off x="0" y="0"/>
                      <a:ext cx="3905795" cy="1200318"/>
                    </a:xfrm>
                    <a:prstGeom prst="rect">
                      <a:avLst/>
                    </a:prstGeom>
                  </pic:spPr>
                </pic:pic>
              </a:graphicData>
            </a:graphic>
          </wp:inline>
        </w:drawing>
      </w:r>
    </w:p>
    <w:p w14:paraId="40F7CBA7" w14:textId="77777777" w:rsidR="00B917FA" w:rsidRDefault="00B917FA" w:rsidP="007F67E0"/>
    <w:p w14:paraId="7A6DC435" w14:textId="77777777" w:rsidR="00B917FA" w:rsidRPr="0037042E" w:rsidRDefault="00B917FA" w:rsidP="007F67E0"/>
    <w:p w14:paraId="0D0B293A" w14:textId="77777777" w:rsidR="00365B5D" w:rsidRPr="0077630F" w:rsidRDefault="00365B5D" w:rsidP="0077630F">
      <w:pPr>
        <w:pStyle w:val="Heading5"/>
        <w:rPr>
          <w:b/>
          <w:bCs/>
        </w:rPr>
      </w:pPr>
      <w:bookmarkStart w:id="19" w:name="_Toc183390779"/>
      <w:r w:rsidRPr="0077630F">
        <w:rPr>
          <w:b/>
          <w:bCs/>
        </w:rPr>
        <w:t>Analysis 8: Quarterly Housing Market Patterns</w:t>
      </w:r>
      <w:bookmarkEnd w:id="19"/>
    </w:p>
    <w:p w14:paraId="003944C1" w14:textId="77777777" w:rsidR="00365B5D" w:rsidRPr="00365B5D" w:rsidRDefault="00365B5D" w:rsidP="00365B5D">
      <w:r w:rsidRPr="00365B5D">
        <w:t>Query Purpose:</w:t>
      </w:r>
    </w:p>
    <w:p w14:paraId="300F59CF" w14:textId="77777777" w:rsidR="00365B5D" w:rsidRPr="00365B5D" w:rsidRDefault="00365B5D" w:rsidP="00FA42C0">
      <w:pPr>
        <w:numPr>
          <w:ilvl w:val="0"/>
          <w:numId w:val="27"/>
        </w:numPr>
      </w:pPr>
      <w:r w:rsidRPr="00365B5D">
        <w:t>Examines seasonal patterns in housing market</w:t>
      </w:r>
    </w:p>
    <w:p w14:paraId="57F52ECB" w14:textId="77777777" w:rsidR="00365B5D" w:rsidRPr="00365B5D" w:rsidRDefault="00365B5D" w:rsidP="00FA42C0">
      <w:pPr>
        <w:numPr>
          <w:ilvl w:val="0"/>
          <w:numId w:val="27"/>
        </w:numPr>
      </w:pPr>
      <w:r w:rsidRPr="00365B5D">
        <w:t>Averages house prices by quarter across years</w:t>
      </w:r>
    </w:p>
    <w:p w14:paraId="74110CBE" w14:textId="77777777" w:rsidR="00365B5D" w:rsidRPr="00365B5D" w:rsidRDefault="00365B5D" w:rsidP="00FA42C0">
      <w:pPr>
        <w:numPr>
          <w:ilvl w:val="0"/>
          <w:numId w:val="27"/>
        </w:numPr>
      </w:pPr>
      <w:r w:rsidRPr="00365B5D">
        <w:t>Calculates typical quarterly growth rates</w:t>
      </w:r>
    </w:p>
    <w:p w14:paraId="4D22BD8C" w14:textId="77777777" w:rsidR="00365B5D" w:rsidRDefault="00365B5D" w:rsidP="00FA42C0">
      <w:pPr>
        <w:numPr>
          <w:ilvl w:val="0"/>
          <w:numId w:val="27"/>
        </w:numPr>
      </w:pPr>
      <w:r w:rsidRPr="00365B5D">
        <w:t>Identifies seasonal trends in housing market</w:t>
      </w:r>
    </w:p>
    <w:p w14:paraId="14BE0287" w14:textId="343A0329" w:rsidR="00D31DDA" w:rsidRDefault="00D31DDA" w:rsidP="00D31DDA">
      <w:r w:rsidRPr="00D31DDA">
        <w:rPr>
          <w:noProof/>
        </w:rPr>
        <w:lastRenderedPageBreak/>
        <w:drawing>
          <wp:inline distT="0" distB="0" distL="0" distR="0" wp14:anchorId="30980241" wp14:editId="2909DDEA">
            <wp:extent cx="5830114" cy="2972215"/>
            <wp:effectExtent l="0" t="0" r="0" b="0"/>
            <wp:docPr id="92627055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70550" name="Picture 1" descr="A computer code with text&#10;&#10;Description automatically generated with medium confidence"/>
                    <pic:cNvPicPr/>
                  </pic:nvPicPr>
                  <pic:blipFill>
                    <a:blip r:embed="rId24"/>
                    <a:stretch>
                      <a:fillRect/>
                    </a:stretch>
                  </pic:blipFill>
                  <pic:spPr>
                    <a:xfrm>
                      <a:off x="0" y="0"/>
                      <a:ext cx="5830114" cy="2972215"/>
                    </a:xfrm>
                    <a:prstGeom prst="rect">
                      <a:avLst/>
                    </a:prstGeom>
                  </pic:spPr>
                </pic:pic>
              </a:graphicData>
            </a:graphic>
          </wp:inline>
        </w:drawing>
      </w:r>
    </w:p>
    <w:p w14:paraId="452789BD" w14:textId="390FA2C1" w:rsidR="00D31DDA" w:rsidRDefault="00FA361F" w:rsidP="0077630F">
      <w:r w:rsidRPr="00FA361F">
        <w:rPr>
          <w:noProof/>
        </w:rPr>
        <w:drawing>
          <wp:inline distT="0" distB="0" distL="0" distR="0" wp14:anchorId="26B85610" wp14:editId="709C7861">
            <wp:extent cx="3886200" cy="1095375"/>
            <wp:effectExtent l="0" t="0" r="0" b="9525"/>
            <wp:docPr id="644167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7580" name="Picture 1" descr="A screenshot of a computer&#10;&#10;Description automatically generated"/>
                    <pic:cNvPicPr/>
                  </pic:nvPicPr>
                  <pic:blipFill rotWithShape="1">
                    <a:blip r:embed="rId25"/>
                    <a:srcRect t="6857" r="18072" b="27429"/>
                    <a:stretch/>
                  </pic:blipFill>
                  <pic:spPr bwMode="auto">
                    <a:xfrm>
                      <a:off x="0" y="0"/>
                      <a:ext cx="3886743" cy="1095528"/>
                    </a:xfrm>
                    <a:prstGeom prst="rect">
                      <a:avLst/>
                    </a:prstGeom>
                    <a:ln>
                      <a:noFill/>
                    </a:ln>
                    <a:extLst>
                      <a:ext uri="{53640926-AAD7-44D8-BBD7-CCE9431645EC}">
                        <a14:shadowObscured xmlns:a14="http://schemas.microsoft.com/office/drawing/2010/main"/>
                      </a:ext>
                    </a:extLst>
                  </pic:spPr>
                </pic:pic>
              </a:graphicData>
            </a:graphic>
          </wp:inline>
        </w:drawing>
      </w:r>
    </w:p>
    <w:p w14:paraId="5F404A8F" w14:textId="77777777" w:rsidR="0077630F" w:rsidRDefault="0077630F" w:rsidP="0077630F"/>
    <w:p w14:paraId="02D7C0F9" w14:textId="77777777" w:rsidR="0077630F" w:rsidRPr="00365B5D" w:rsidRDefault="0077630F" w:rsidP="0077630F"/>
    <w:p w14:paraId="09C680BF" w14:textId="77777777" w:rsidR="00D31DDA" w:rsidRPr="00D31DDA" w:rsidRDefault="00D31DDA" w:rsidP="00D31DDA">
      <w:r w:rsidRPr="00D31DDA">
        <w:t>Key Insights:</w:t>
      </w:r>
    </w:p>
    <w:p w14:paraId="1F45E453" w14:textId="77777777" w:rsidR="00D31DDA" w:rsidRPr="00D31DDA" w:rsidRDefault="00D31DDA" w:rsidP="00FA42C0">
      <w:pPr>
        <w:numPr>
          <w:ilvl w:val="0"/>
          <w:numId w:val="28"/>
        </w:numPr>
      </w:pPr>
      <w:r w:rsidRPr="00D31DDA">
        <w:t>Seasonal Pattern Identified:</w:t>
      </w:r>
    </w:p>
    <w:p w14:paraId="5754FBD3" w14:textId="77777777" w:rsidR="00D31DDA" w:rsidRPr="00D31DDA" w:rsidRDefault="00D31DDA" w:rsidP="00FA42C0">
      <w:pPr>
        <w:numPr>
          <w:ilvl w:val="1"/>
          <w:numId w:val="28"/>
        </w:numPr>
      </w:pPr>
      <w:r w:rsidRPr="00D31DDA">
        <w:t>Strongest growth in Q2 (Spring season)</w:t>
      </w:r>
    </w:p>
    <w:p w14:paraId="724DA5EA" w14:textId="77777777" w:rsidR="00D31DDA" w:rsidRPr="00D31DDA" w:rsidRDefault="00D31DDA" w:rsidP="00FA42C0">
      <w:pPr>
        <w:numPr>
          <w:ilvl w:val="1"/>
          <w:numId w:val="28"/>
        </w:numPr>
      </w:pPr>
      <w:r w:rsidRPr="00D31DDA">
        <w:t>Weakest growth in Q4 (Winter season)</w:t>
      </w:r>
    </w:p>
    <w:p w14:paraId="27E3012A" w14:textId="77777777" w:rsidR="00D31DDA" w:rsidRPr="00D31DDA" w:rsidRDefault="00D31DDA" w:rsidP="00FA42C0">
      <w:pPr>
        <w:numPr>
          <w:ilvl w:val="1"/>
          <w:numId w:val="28"/>
        </w:numPr>
      </w:pPr>
      <w:r w:rsidRPr="00D31DDA">
        <w:t>Spring prices typically highest</w:t>
      </w:r>
    </w:p>
    <w:p w14:paraId="4AB0652D" w14:textId="77777777" w:rsidR="00D31DDA" w:rsidRPr="00D31DDA" w:rsidRDefault="00D31DDA" w:rsidP="00FA42C0">
      <w:pPr>
        <w:numPr>
          <w:ilvl w:val="1"/>
          <w:numId w:val="28"/>
        </w:numPr>
      </w:pPr>
      <w:r w:rsidRPr="00D31DDA">
        <w:t>More moderate activity in Q3 and Q1</w:t>
      </w:r>
    </w:p>
    <w:p w14:paraId="6C263CAC" w14:textId="77777777" w:rsidR="00D31DDA" w:rsidRPr="00D31DDA" w:rsidRDefault="00D31DDA" w:rsidP="00D31DDA">
      <w:r w:rsidRPr="00D31DDA">
        <w:t>Business Applications:</w:t>
      </w:r>
    </w:p>
    <w:p w14:paraId="11F27DB6" w14:textId="77777777" w:rsidR="00D31DDA" w:rsidRPr="00D31DDA" w:rsidRDefault="00D31DDA" w:rsidP="00FA42C0">
      <w:pPr>
        <w:numPr>
          <w:ilvl w:val="0"/>
          <w:numId w:val="29"/>
        </w:numPr>
      </w:pPr>
      <w:r w:rsidRPr="00D31DDA">
        <w:t>Optimal timing for real estate transactions</w:t>
      </w:r>
    </w:p>
    <w:p w14:paraId="1ECD5FE6" w14:textId="77777777" w:rsidR="00D31DDA" w:rsidRPr="00D31DDA" w:rsidRDefault="00D31DDA" w:rsidP="00FA42C0">
      <w:pPr>
        <w:numPr>
          <w:ilvl w:val="0"/>
          <w:numId w:val="29"/>
        </w:numPr>
      </w:pPr>
      <w:r w:rsidRPr="00D31DDA">
        <w:t>Seasonal adjustment of housing market analysis</w:t>
      </w:r>
    </w:p>
    <w:p w14:paraId="47E4B78C" w14:textId="77777777" w:rsidR="00D31DDA" w:rsidRPr="00D31DDA" w:rsidRDefault="00D31DDA" w:rsidP="00FA42C0">
      <w:pPr>
        <w:numPr>
          <w:ilvl w:val="0"/>
          <w:numId w:val="29"/>
        </w:numPr>
      </w:pPr>
      <w:r w:rsidRPr="00D31DDA">
        <w:t>Real estate investment strategy planning</w:t>
      </w:r>
    </w:p>
    <w:p w14:paraId="2C624A28" w14:textId="77777777" w:rsidR="00D31DDA" w:rsidRPr="00D31DDA" w:rsidRDefault="00D31DDA" w:rsidP="00FA42C0">
      <w:pPr>
        <w:numPr>
          <w:ilvl w:val="0"/>
          <w:numId w:val="29"/>
        </w:numPr>
      </w:pPr>
      <w:r w:rsidRPr="00D31DDA">
        <w:t>Understanding cyclical market behavior</w:t>
      </w:r>
    </w:p>
    <w:p w14:paraId="51C3A145" w14:textId="77777777" w:rsidR="00D31DDA" w:rsidRPr="00D31DDA" w:rsidRDefault="00D31DDA" w:rsidP="00D31DDA">
      <w:r w:rsidRPr="00D31DDA">
        <w:lastRenderedPageBreak/>
        <w:t>This analysis helps market participants understand and anticipate regular seasonal patterns in the housing market, useful for both timing decisions and price expectations.</w:t>
      </w:r>
    </w:p>
    <w:p w14:paraId="590EAB82" w14:textId="1D6221E4" w:rsidR="00D31DDA" w:rsidRPr="00D31DDA" w:rsidRDefault="00D31DDA" w:rsidP="00D31DDA"/>
    <w:p w14:paraId="7575624F" w14:textId="77777777" w:rsidR="0074597F" w:rsidRDefault="00B2178C" w:rsidP="0074597F">
      <w:r w:rsidRPr="00B2178C">
        <w:t>The analysis demonstrates the power of dimensional modeling and OLAP capabilities in understanding complex economic relationships, supporting both investment decisions and policy considerations. The findings provide a solid foundation for understanding market behavior, economic relationships, and timing considerations across different asset classes.</w:t>
      </w:r>
    </w:p>
    <w:p w14:paraId="212FDA41" w14:textId="77777777" w:rsidR="0074597F" w:rsidRDefault="0074597F" w:rsidP="0074597F"/>
    <w:p w14:paraId="37F7A325" w14:textId="06EFE4B5" w:rsidR="000255C2" w:rsidRDefault="00057CC6" w:rsidP="0077630F">
      <w:pPr>
        <w:pStyle w:val="Heading2"/>
      </w:pPr>
      <w:bookmarkStart w:id="20" w:name="_Toc183390780"/>
      <w:r>
        <w:t xml:space="preserve">Data </w:t>
      </w:r>
      <w:r w:rsidR="00B711C6">
        <w:t>Visualization and Storytelling</w:t>
      </w:r>
      <w:bookmarkEnd w:id="20"/>
    </w:p>
    <w:p w14:paraId="5F187BFF" w14:textId="77777777" w:rsidR="0077630F" w:rsidRPr="0077630F" w:rsidRDefault="0077630F" w:rsidP="0077630F"/>
    <w:p w14:paraId="64FB2425" w14:textId="77777777" w:rsidR="000255C2" w:rsidRPr="0077630F" w:rsidRDefault="00CB3C02" w:rsidP="0077630F">
      <w:pPr>
        <w:pStyle w:val="Heading5"/>
        <w:numPr>
          <w:ilvl w:val="0"/>
          <w:numId w:val="69"/>
        </w:numPr>
        <w:rPr>
          <w:b/>
          <w:bCs/>
        </w:rPr>
      </w:pPr>
      <w:bookmarkStart w:id="21" w:name="_Toc183390781"/>
      <w:r w:rsidRPr="0077630F">
        <w:rPr>
          <w:b/>
          <w:bCs/>
        </w:rPr>
        <w:t>The Three Acts of America's Economic Story (1978-2013)</w:t>
      </w:r>
      <w:bookmarkEnd w:id="21"/>
    </w:p>
    <w:p w14:paraId="3F80F789" w14:textId="77777777" w:rsidR="000255C2" w:rsidRDefault="000255C2" w:rsidP="000255C2">
      <w:pPr>
        <w:rPr>
          <w:b/>
          <w:bCs/>
        </w:rPr>
      </w:pPr>
    </w:p>
    <w:p w14:paraId="57CF85D7" w14:textId="622FF5F2" w:rsidR="00B711C6" w:rsidRDefault="00A30EE7" w:rsidP="000255C2">
      <w:r w:rsidRPr="00A30EE7">
        <w:rPr>
          <w:noProof/>
        </w:rPr>
        <w:drawing>
          <wp:inline distT="0" distB="0" distL="0" distR="0" wp14:anchorId="481E8CF4" wp14:editId="19687EA4">
            <wp:extent cx="6305550" cy="3680259"/>
            <wp:effectExtent l="0" t="0" r="0" b="0"/>
            <wp:docPr id="138651581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15817" name="Picture 1" descr="A graph of different colored lines&#10;&#10;Description automatically generated"/>
                    <pic:cNvPicPr/>
                  </pic:nvPicPr>
                  <pic:blipFill>
                    <a:blip r:embed="rId26"/>
                    <a:stretch>
                      <a:fillRect/>
                    </a:stretch>
                  </pic:blipFill>
                  <pic:spPr>
                    <a:xfrm>
                      <a:off x="0" y="0"/>
                      <a:ext cx="6310153" cy="3682945"/>
                    </a:xfrm>
                    <a:prstGeom prst="rect">
                      <a:avLst/>
                    </a:prstGeom>
                  </pic:spPr>
                </pic:pic>
              </a:graphicData>
            </a:graphic>
          </wp:inline>
        </w:drawing>
      </w:r>
    </w:p>
    <w:p w14:paraId="51E5434F" w14:textId="5A18299E" w:rsidR="00CF0715" w:rsidRPr="00CF0715" w:rsidRDefault="00CF0715" w:rsidP="00CF0715">
      <w:r w:rsidRPr="00CF0715">
        <w:t>This visualization presents a synchronized view of four key economic indicators - GDP, Unemployment Rate, Housing Prices, and S&amp;P 500</w:t>
      </w:r>
      <w:r>
        <w:t xml:space="preserve"> Adjusted Closing Price</w:t>
      </w:r>
      <w:r w:rsidRPr="00CF0715">
        <w:t>. The data naturally divides into three distinct periods, color-coded for clarity:</w:t>
      </w:r>
    </w:p>
    <w:p w14:paraId="635416F9" w14:textId="77777777" w:rsidR="00CF0715" w:rsidRPr="00CF0715" w:rsidRDefault="00CF0715" w:rsidP="00FA42C0">
      <w:pPr>
        <w:numPr>
          <w:ilvl w:val="0"/>
          <w:numId w:val="30"/>
        </w:numPr>
      </w:pPr>
      <w:r w:rsidRPr="00CF0715">
        <w:t>Steady Growth Era (Orange, 1975-1993):</w:t>
      </w:r>
    </w:p>
    <w:p w14:paraId="2C02302A" w14:textId="77777777" w:rsidR="00CF0715" w:rsidRPr="00CF0715" w:rsidRDefault="00CF0715" w:rsidP="00FA42C0">
      <w:pPr>
        <w:numPr>
          <w:ilvl w:val="0"/>
          <w:numId w:val="31"/>
        </w:numPr>
      </w:pPr>
      <w:r w:rsidRPr="00CF0715">
        <w:t>Stable GDP growth</w:t>
      </w:r>
    </w:p>
    <w:p w14:paraId="6AFE8FB3" w14:textId="77777777" w:rsidR="00CF0715" w:rsidRPr="00CF0715" w:rsidRDefault="00CF0715" w:rsidP="00FA42C0">
      <w:pPr>
        <w:numPr>
          <w:ilvl w:val="0"/>
          <w:numId w:val="31"/>
        </w:numPr>
      </w:pPr>
      <w:r w:rsidRPr="00CF0715">
        <w:t>Gradually declining unemployment</w:t>
      </w:r>
    </w:p>
    <w:p w14:paraId="42DBBB11" w14:textId="77777777" w:rsidR="00CF0715" w:rsidRPr="00CF0715" w:rsidRDefault="00CF0715" w:rsidP="00FA42C0">
      <w:pPr>
        <w:numPr>
          <w:ilvl w:val="0"/>
          <w:numId w:val="31"/>
        </w:numPr>
      </w:pPr>
      <w:r w:rsidRPr="00CF0715">
        <w:lastRenderedPageBreak/>
        <w:t>Modest housing appreciation</w:t>
      </w:r>
    </w:p>
    <w:p w14:paraId="02A44A87" w14:textId="77777777" w:rsidR="00CF0715" w:rsidRPr="00CF0715" w:rsidRDefault="00CF0715" w:rsidP="00FA42C0">
      <w:pPr>
        <w:numPr>
          <w:ilvl w:val="0"/>
          <w:numId w:val="31"/>
        </w:numPr>
      </w:pPr>
      <w:r w:rsidRPr="00CF0715">
        <w:t>Conservative market growth</w:t>
      </w:r>
    </w:p>
    <w:p w14:paraId="73CBDE3A" w14:textId="77777777" w:rsidR="00CF0715" w:rsidRPr="00CF0715" w:rsidRDefault="00CF0715" w:rsidP="00FA42C0">
      <w:pPr>
        <w:numPr>
          <w:ilvl w:val="0"/>
          <w:numId w:val="32"/>
        </w:numPr>
      </w:pPr>
      <w:r w:rsidRPr="00CF0715">
        <w:t>Boom Period (Blue, 1994-2007):</w:t>
      </w:r>
    </w:p>
    <w:p w14:paraId="6F195852" w14:textId="77777777" w:rsidR="00CF0715" w:rsidRPr="00CF0715" w:rsidRDefault="00CF0715" w:rsidP="00FA42C0">
      <w:pPr>
        <w:numPr>
          <w:ilvl w:val="0"/>
          <w:numId w:val="33"/>
        </w:numPr>
      </w:pPr>
      <w:r w:rsidRPr="00CF0715">
        <w:t>Accelerated economic expansion</w:t>
      </w:r>
    </w:p>
    <w:p w14:paraId="3A5E3F4B" w14:textId="77777777" w:rsidR="00CF0715" w:rsidRPr="00CF0715" w:rsidRDefault="00CF0715" w:rsidP="00FA42C0">
      <w:pPr>
        <w:numPr>
          <w:ilvl w:val="0"/>
          <w:numId w:val="33"/>
        </w:numPr>
      </w:pPr>
      <w:r w:rsidRPr="00CF0715">
        <w:t>Low unemployment</w:t>
      </w:r>
    </w:p>
    <w:p w14:paraId="4CAF03AD" w14:textId="77777777" w:rsidR="00CF0715" w:rsidRPr="00CF0715" w:rsidRDefault="00CF0715" w:rsidP="00FA42C0">
      <w:pPr>
        <w:numPr>
          <w:ilvl w:val="0"/>
          <w:numId w:val="33"/>
        </w:numPr>
      </w:pPr>
      <w:r w:rsidRPr="00CF0715">
        <w:t>Housing market surge</w:t>
      </w:r>
    </w:p>
    <w:p w14:paraId="712CDF1C" w14:textId="77777777" w:rsidR="00CF0715" w:rsidRPr="00CF0715" w:rsidRDefault="00CF0715" w:rsidP="00FA42C0">
      <w:pPr>
        <w:numPr>
          <w:ilvl w:val="0"/>
          <w:numId w:val="33"/>
        </w:numPr>
      </w:pPr>
      <w:r w:rsidRPr="00CF0715">
        <w:t>Strong stock performance</w:t>
      </w:r>
    </w:p>
    <w:p w14:paraId="61781827" w14:textId="77777777" w:rsidR="00CF0715" w:rsidRPr="00CF0715" w:rsidRDefault="00CF0715" w:rsidP="00FA42C0">
      <w:pPr>
        <w:numPr>
          <w:ilvl w:val="0"/>
          <w:numId w:val="34"/>
        </w:numPr>
      </w:pPr>
      <w:r w:rsidRPr="00CF0715">
        <w:t>Crisis &amp; Recovery (Red, 2008-2013):</w:t>
      </w:r>
    </w:p>
    <w:p w14:paraId="5743680F" w14:textId="77777777" w:rsidR="00CF0715" w:rsidRPr="00CF0715" w:rsidRDefault="00CF0715" w:rsidP="00FA42C0">
      <w:pPr>
        <w:numPr>
          <w:ilvl w:val="0"/>
          <w:numId w:val="35"/>
        </w:numPr>
      </w:pPr>
      <w:r w:rsidRPr="00CF0715">
        <w:t>Economic volatility</w:t>
      </w:r>
    </w:p>
    <w:p w14:paraId="4FFBE3C3" w14:textId="77777777" w:rsidR="00CF0715" w:rsidRPr="00CF0715" w:rsidRDefault="00CF0715" w:rsidP="00FA42C0">
      <w:pPr>
        <w:numPr>
          <w:ilvl w:val="0"/>
          <w:numId w:val="35"/>
        </w:numPr>
      </w:pPr>
      <w:r w:rsidRPr="00CF0715">
        <w:t>High unemployment</w:t>
      </w:r>
    </w:p>
    <w:p w14:paraId="0D5D814A" w14:textId="77777777" w:rsidR="00CF0715" w:rsidRPr="00CF0715" w:rsidRDefault="00CF0715" w:rsidP="00FA42C0">
      <w:pPr>
        <w:numPr>
          <w:ilvl w:val="0"/>
          <w:numId w:val="35"/>
        </w:numPr>
      </w:pPr>
      <w:r w:rsidRPr="00CF0715">
        <w:t>Housing market correction</w:t>
      </w:r>
    </w:p>
    <w:p w14:paraId="5735B85E" w14:textId="77777777" w:rsidR="00CF0715" w:rsidRPr="00CF0715" w:rsidRDefault="00CF0715" w:rsidP="00FA42C0">
      <w:pPr>
        <w:numPr>
          <w:ilvl w:val="0"/>
          <w:numId w:val="35"/>
        </w:numPr>
      </w:pPr>
      <w:r w:rsidRPr="00CF0715">
        <w:t>Market turbulence</w:t>
      </w:r>
    </w:p>
    <w:p w14:paraId="5331FC8F" w14:textId="43F32625" w:rsidR="00A7219E" w:rsidRDefault="00CF0715" w:rsidP="00940F1B">
      <w:r w:rsidRPr="00CF0715">
        <w:t>The parallel arrangement of these metrics reveals how they interact during different economic cycles, clearly showing the transition from stability to boom and subsequent correction.</w:t>
      </w:r>
      <w:r w:rsidR="004233A6">
        <w:t xml:space="preserve"> There is a p</w:t>
      </w:r>
      <w:r w:rsidR="004233A6" w:rsidRPr="004233A6">
        <w:t>owerful illustration of the 2008 financial crisis impact</w:t>
      </w:r>
      <w:r w:rsidR="004233A6">
        <w:t>.</w:t>
      </w:r>
    </w:p>
    <w:p w14:paraId="6572C387" w14:textId="77777777" w:rsidR="00940F1B" w:rsidRDefault="00940F1B" w:rsidP="00940F1B"/>
    <w:p w14:paraId="13280371" w14:textId="77777777" w:rsidR="00940F1B" w:rsidRDefault="00940F1B" w:rsidP="00940F1B"/>
    <w:p w14:paraId="0CAFE0DE" w14:textId="77777777" w:rsidR="00940F1B" w:rsidRDefault="00940F1B" w:rsidP="00940F1B"/>
    <w:p w14:paraId="00FFE343" w14:textId="77777777" w:rsidR="00940F1B" w:rsidRDefault="00940F1B" w:rsidP="00940F1B"/>
    <w:p w14:paraId="30B7DF57" w14:textId="77777777" w:rsidR="00940F1B" w:rsidRDefault="00940F1B" w:rsidP="00940F1B"/>
    <w:p w14:paraId="3C675BD0" w14:textId="77777777" w:rsidR="00940F1B" w:rsidRDefault="00940F1B" w:rsidP="00940F1B"/>
    <w:p w14:paraId="3EC14626" w14:textId="77777777" w:rsidR="00940F1B" w:rsidRDefault="00940F1B" w:rsidP="00940F1B"/>
    <w:p w14:paraId="3C229DBA" w14:textId="77777777" w:rsidR="00940F1B" w:rsidRDefault="00940F1B" w:rsidP="00940F1B"/>
    <w:p w14:paraId="6757CED9" w14:textId="77777777" w:rsidR="00940F1B" w:rsidRDefault="00940F1B" w:rsidP="00940F1B"/>
    <w:p w14:paraId="5B97F6C3" w14:textId="77777777" w:rsidR="00940F1B" w:rsidRDefault="00940F1B" w:rsidP="00940F1B"/>
    <w:p w14:paraId="5D4B0A1B" w14:textId="77777777" w:rsidR="00940F1B" w:rsidRDefault="00940F1B" w:rsidP="00940F1B"/>
    <w:p w14:paraId="42626DC7" w14:textId="77777777" w:rsidR="00940F1B" w:rsidRDefault="00940F1B" w:rsidP="00940F1B"/>
    <w:p w14:paraId="592455CC" w14:textId="77777777" w:rsidR="00940F1B" w:rsidRDefault="00940F1B" w:rsidP="00940F1B"/>
    <w:p w14:paraId="07975046" w14:textId="77777777" w:rsidR="00940F1B" w:rsidRDefault="00940F1B" w:rsidP="00940F1B"/>
    <w:p w14:paraId="3E414F68" w14:textId="65DD2370" w:rsidR="00D20528" w:rsidRPr="000255C2" w:rsidRDefault="000255C2" w:rsidP="0077630F">
      <w:pPr>
        <w:pStyle w:val="Heading5"/>
        <w:numPr>
          <w:ilvl w:val="0"/>
          <w:numId w:val="69"/>
        </w:numPr>
        <w:rPr>
          <w:b/>
          <w:bCs/>
        </w:rPr>
      </w:pPr>
      <w:bookmarkStart w:id="22" w:name="_Toc183390782"/>
      <w:r w:rsidRPr="000255C2">
        <w:rPr>
          <w:b/>
          <w:bCs/>
        </w:rPr>
        <w:lastRenderedPageBreak/>
        <w:t>Market Returns vs Economic Growth: A Tale of Volatility and Recovery (1974-2012)</w:t>
      </w:r>
      <w:bookmarkEnd w:id="22"/>
    </w:p>
    <w:p w14:paraId="39BCCBAD" w14:textId="77777777" w:rsidR="00D20528" w:rsidRDefault="00D20528"/>
    <w:p w14:paraId="61915A7F" w14:textId="5D9C9A88" w:rsidR="004C7B6F" w:rsidRDefault="00D20528">
      <w:r w:rsidRPr="00D20528">
        <w:rPr>
          <w:noProof/>
        </w:rPr>
        <w:drawing>
          <wp:inline distT="0" distB="0" distL="0" distR="0" wp14:anchorId="4F7BF94A" wp14:editId="2F2B59B7">
            <wp:extent cx="5943600" cy="3455035"/>
            <wp:effectExtent l="0" t="0" r="0" b="0"/>
            <wp:docPr id="1355724639"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24639" name="Picture 1" descr="A graph with red and blue lines&#10;&#10;Description automatically generated"/>
                    <pic:cNvPicPr/>
                  </pic:nvPicPr>
                  <pic:blipFill>
                    <a:blip r:embed="rId27"/>
                    <a:stretch>
                      <a:fillRect/>
                    </a:stretch>
                  </pic:blipFill>
                  <pic:spPr>
                    <a:xfrm>
                      <a:off x="0" y="0"/>
                      <a:ext cx="5943600" cy="3455035"/>
                    </a:xfrm>
                    <a:prstGeom prst="rect">
                      <a:avLst/>
                    </a:prstGeom>
                  </pic:spPr>
                </pic:pic>
              </a:graphicData>
            </a:graphic>
          </wp:inline>
        </w:drawing>
      </w:r>
    </w:p>
    <w:p w14:paraId="07B666BF" w14:textId="77777777" w:rsidR="000255C2" w:rsidRDefault="000255C2"/>
    <w:p w14:paraId="5AAECA91" w14:textId="725C8096" w:rsidR="005A5E7F" w:rsidRPr="005A5E7F" w:rsidRDefault="005A5E7F" w:rsidP="005A5E7F">
      <w:r w:rsidRPr="005A5E7F">
        <w:t xml:space="preserve">This dual-axis time series visualization compares quarterly GDP growth (red line) with </w:t>
      </w:r>
      <w:r>
        <w:t xml:space="preserve">quarterly </w:t>
      </w:r>
      <w:r w:rsidRPr="005A5E7F">
        <w:t>S&amp;P 500 returns (blue line), revealing several key insights:</w:t>
      </w:r>
    </w:p>
    <w:p w14:paraId="7E9E0978" w14:textId="77777777" w:rsidR="005A5E7F" w:rsidRPr="005A5E7F" w:rsidRDefault="005A5E7F" w:rsidP="00FA42C0">
      <w:pPr>
        <w:numPr>
          <w:ilvl w:val="0"/>
          <w:numId w:val="36"/>
        </w:numPr>
      </w:pPr>
      <w:r w:rsidRPr="005A5E7F">
        <w:t>Pattern Recognition:</w:t>
      </w:r>
    </w:p>
    <w:p w14:paraId="0FDE36E9" w14:textId="77777777" w:rsidR="005A5E7F" w:rsidRPr="005A5E7F" w:rsidRDefault="005A5E7F" w:rsidP="00FA42C0">
      <w:pPr>
        <w:numPr>
          <w:ilvl w:val="0"/>
          <w:numId w:val="37"/>
        </w:numPr>
      </w:pPr>
      <w:r w:rsidRPr="005A5E7F">
        <w:t>GDP growth shows gradual decline from high volatility (3.5% in late 1970s) to more stable rates</w:t>
      </w:r>
    </w:p>
    <w:p w14:paraId="5AED34ED" w14:textId="77777777" w:rsidR="005A5E7F" w:rsidRPr="005A5E7F" w:rsidRDefault="005A5E7F" w:rsidP="00FA42C0">
      <w:pPr>
        <w:numPr>
          <w:ilvl w:val="0"/>
          <w:numId w:val="37"/>
        </w:numPr>
      </w:pPr>
      <w:r w:rsidRPr="005A5E7F">
        <w:t>S&amp;P 500 returns demonstrate higher volatility, especially during crisis periods</w:t>
      </w:r>
    </w:p>
    <w:p w14:paraId="59144F59" w14:textId="77777777" w:rsidR="005A5E7F" w:rsidRPr="005A5E7F" w:rsidRDefault="005A5E7F" w:rsidP="00FA42C0">
      <w:pPr>
        <w:numPr>
          <w:ilvl w:val="0"/>
          <w:numId w:val="37"/>
        </w:numPr>
      </w:pPr>
      <w:r w:rsidRPr="005A5E7F">
        <w:t>Most dramatic divergence during 2008 crisis (S&amp;P 500 -10% return)</w:t>
      </w:r>
    </w:p>
    <w:p w14:paraId="7B34EEB5" w14:textId="77777777" w:rsidR="005A5E7F" w:rsidRPr="005A5E7F" w:rsidRDefault="005A5E7F" w:rsidP="00FA42C0">
      <w:pPr>
        <w:numPr>
          <w:ilvl w:val="0"/>
          <w:numId w:val="38"/>
        </w:numPr>
      </w:pPr>
      <w:r w:rsidRPr="005A5E7F">
        <w:t>Key Periods:</w:t>
      </w:r>
    </w:p>
    <w:p w14:paraId="38B68CBE" w14:textId="77777777" w:rsidR="005A5E7F" w:rsidRPr="005A5E7F" w:rsidRDefault="005A5E7F" w:rsidP="00FA42C0">
      <w:pPr>
        <w:numPr>
          <w:ilvl w:val="0"/>
          <w:numId w:val="39"/>
        </w:numPr>
      </w:pPr>
      <w:r w:rsidRPr="005A5E7F">
        <w:t>1970s: High but declining GDP growth, moderate market returns</w:t>
      </w:r>
    </w:p>
    <w:p w14:paraId="4E421995" w14:textId="77777777" w:rsidR="005A5E7F" w:rsidRPr="005A5E7F" w:rsidRDefault="005A5E7F" w:rsidP="00FA42C0">
      <w:pPr>
        <w:numPr>
          <w:ilvl w:val="0"/>
          <w:numId w:val="39"/>
        </w:numPr>
      </w:pPr>
      <w:r w:rsidRPr="005A5E7F">
        <w:t>1980s-1990s: Stabilizing GDP growth with fluctuating market returns</w:t>
      </w:r>
    </w:p>
    <w:p w14:paraId="58DC4AAF" w14:textId="77777777" w:rsidR="005A5E7F" w:rsidRPr="005A5E7F" w:rsidRDefault="005A5E7F" w:rsidP="00FA42C0">
      <w:pPr>
        <w:numPr>
          <w:ilvl w:val="0"/>
          <w:numId w:val="39"/>
        </w:numPr>
      </w:pPr>
      <w:r w:rsidRPr="005A5E7F">
        <w:t>2008: Severe market decline followed by sharp recovery</w:t>
      </w:r>
    </w:p>
    <w:p w14:paraId="162A0873" w14:textId="77777777" w:rsidR="005A5E7F" w:rsidRPr="005A5E7F" w:rsidRDefault="005A5E7F" w:rsidP="005A5E7F">
      <w:r w:rsidRPr="005A5E7F">
        <w:t>The visualization effectively shows how market returns can be more volatile than underlying economic growth, with the S&amp;P 500 often experiencing more extreme movements than GDP, particularly during economic stress periods.</w:t>
      </w:r>
    </w:p>
    <w:p w14:paraId="6BB2FD89" w14:textId="77777777" w:rsidR="000255C2" w:rsidRDefault="000255C2"/>
    <w:p w14:paraId="1A9CAFBA" w14:textId="01D6BD35" w:rsidR="00683EEB" w:rsidRPr="00501E12" w:rsidRDefault="00501E12" w:rsidP="0077630F">
      <w:pPr>
        <w:pStyle w:val="Heading5"/>
        <w:numPr>
          <w:ilvl w:val="0"/>
          <w:numId w:val="69"/>
        </w:numPr>
        <w:rPr>
          <w:b/>
          <w:bCs/>
        </w:rPr>
      </w:pPr>
      <w:bookmarkStart w:id="23" w:name="_Toc183390783"/>
      <w:r w:rsidRPr="00501E12">
        <w:rPr>
          <w:b/>
          <w:bCs/>
        </w:rPr>
        <w:lastRenderedPageBreak/>
        <w:t>Parallel Paths: The Long-Term Dance of Markets and Economic Growth (1974-2012)</w:t>
      </w:r>
      <w:bookmarkEnd w:id="23"/>
    </w:p>
    <w:p w14:paraId="2493CC7A" w14:textId="08A0EC8A" w:rsidR="00683EEB" w:rsidRDefault="00683EEB">
      <w:r w:rsidRPr="00683EEB">
        <w:rPr>
          <w:noProof/>
        </w:rPr>
        <w:drawing>
          <wp:inline distT="0" distB="0" distL="0" distR="0" wp14:anchorId="209F1F42" wp14:editId="69402FE0">
            <wp:extent cx="5943600" cy="3427730"/>
            <wp:effectExtent l="0" t="0" r="0" b="1270"/>
            <wp:docPr id="499712520" name="Picture 1"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2520" name="Picture 1" descr="A graph showing the growth of a stock market&#10;&#10;Description automatically generated"/>
                    <pic:cNvPicPr/>
                  </pic:nvPicPr>
                  <pic:blipFill>
                    <a:blip r:embed="rId28"/>
                    <a:stretch>
                      <a:fillRect/>
                    </a:stretch>
                  </pic:blipFill>
                  <pic:spPr>
                    <a:xfrm>
                      <a:off x="0" y="0"/>
                      <a:ext cx="5943600" cy="3427730"/>
                    </a:xfrm>
                    <a:prstGeom prst="rect">
                      <a:avLst/>
                    </a:prstGeom>
                  </pic:spPr>
                </pic:pic>
              </a:graphicData>
            </a:graphic>
          </wp:inline>
        </w:drawing>
      </w:r>
    </w:p>
    <w:p w14:paraId="34B2C5D1" w14:textId="77777777" w:rsidR="00501E12" w:rsidRDefault="00501E12"/>
    <w:p w14:paraId="0AF4C083" w14:textId="77777777" w:rsidR="00501E12" w:rsidRPr="00501E12" w:rsidRDefault="00501E12" w:rsidP="00501E12">
      <w:r w:rsidRPr="00501E12">
        <w:t>This stacked visualization powerfully illustrates the relationship between S&amp;P 500 prices (top) and GDP (bottom) over four decades:</w:t>
      </w:r>
    </w:p>
    <w:p w14:paraId="6A8A0794" w14:textId="77777777" w:rsidR="00501E12" w:rsidRPr="00501E12" w:rsidRDefault="00501E12" w:rsidP="00FA42C0">
      <w:pPr>
        <w:numPr>
          <w:ilvl w:val="0"/>
          <w:numId w:val="40"/>
        </w:numPr>
      </w:pPr>
      <w:r w:rsidRPr="00501E12">
        <w:t>Growth Patterns:</w:t>
      </w:r>
    </w:p>
    <w:p w14:paraId="4C519620" w14:textId="77777777" w:rsidR="00501E12" w:rsidRPr="00501E12" w:rsidRDefault="00501E12" w:rsidP="00FA42C0">
      <w:pPr>
        <w:numPr>
          <w:ilvl w:val="0"/>
          <w:numId w:val="41"/>
        </w:numPr>
      </w:pPr>
      <w:r w:rsidRPr="00501E12">
        <w:t>GDP shows steady, consistent upward trajectory</w:t>
      </w:r>
    </w:p>
    <w:p w14:paraId="70F92FE6" w14:textId="77777777" w:rsidR="00501E12" w:rsidRPr="00501E12" w:rsidRDefault="00501E12" w:rsidP="00FA42C0">
      <w:pPr>
        <w:numPr>
          <w:ilvl w:val="0"/>
          <w:numId w:val="41"/>
        </w:numPr>
      </w:pPr>
      <w:r w:rsidRPr="00501E12">
        <w:t xml:space="preserve">S&amp;P 500 demonstrates more dramatic growth phases </w:t>
      </w:r>
    </w:p>
    <w:p w14:paraId="22AF8870" w14:textId="77777777" w:rsidR="00501E12" w:rsidRPr="00501E12" w:rsidRDefault="00501E12" w:rsidP="00FA42C0">
      <w:pPr>
        <w:numPr>
          <w:ilvl w:val="1"/>
          <w:numId w:val="41"/>
        </w:numPr>
      </w:pPr>
      <w:r w:rsidRPr="00501E12">
        <w:t>Relatively flat until early 1990s</w:t>
      </w:r>
    </w:p>
    <w:p w14:paraId="4311EA28" w14:textId="77777777" w:rsidR="00501E12" w:rsidRPr="00501E12" w:rsidRDefault="00501E12" w:rsidP="00FA42C0">
      <w:pPr>
        <w:numPr>
          <w:ilvl w:val="1"/>
          <w:numId w:val="41"/>
        </w:numPr>
      </w:pPr>
      <w:r w:rsidRPr="00501E12">
        <w:t>Steep acceleration in late 1990s</w:t>
      </w:r>
    </w:p>
    <w:p w14:paraId="2150E696" w14:textId="77777777" w:rsidR="00501E12" w:rsidRPr="00501E12" w:rsidRDefault="00501E12" w:rsidP="00FA42C0">
      <w:pPr>
        <w:numPr>
          <w:ilvl w:val="1"/>
          <w:numId w:val="41"/>
        </w:numPr>
      </w:pPr>
      <w:r w:rsidRPr="00501E12">
        <w:t>Notable peaks and valleys post-2000</w:t>
      </w:r>
    </w:p>
    <w:p w14:paraId="37AACB1B" w14:textId="77777777" w:rsidR="00501E12" w:rsidRPr="00501E12" w:rsidRDefault="00501E12" w:rsidP="00FA42C0">
      <w:pPr>
        <w:numPr>
          <w:ilvl w:val="0"/>
          <w:numId w:val="42"/>
        </w:numPr>
      </w:pPr>
      <w:r w:rsidRPr="00501E12">
        <w:t>Key Transitions:</w:t>
      </w:r>
    </w:p>
    <w:p w14:paraId="2E3E90A5" w14:textId="77777777" w:rsidR="00501E12" w:rsidRPr="00501E12" w:rsidRDefault="00501E12" w:rsidP="00FA42C0">
      <w:pPr>
        <w:numPr>
          <w:ilvl w:val="0"/>
          <w:numId w:val="43"/>
        </w:numPr>
      </w:pPr>
      <w:r w:rsidRPr="00501E12">
        <w:t>Pre-1990: Both metrics show modest, steady growth</w:t>
      </w:r>
    </w:p>
    <w:p w14:paraId="313FC882" w14:textId="77777777" w:rsidR="00501E12" w:rsidRPr="00501E12" w:rsidRDefault="00501E12" w:rsidP="00FA42C0">
      <w:pPr>
        <w:numPr>
          <w:ilvl w:val="0"/>
          <w:numId w:val="43"/>
        </w:numPr>
      </w:pPr>
      <w:r w:rsidRPr="00501E12">
        <w:t>1995-2000: Market acceleration outpaces GDP growth</w:t>
      </w:r>
    </w:p>
    <w:p w14:paraId="76FBF066" w14:textId="77777777" w:rsidR="00501E12" w:rsidRPr="00501E12" w:rsidRDefault="00501E12" w:rsidP="00FA42C0">
      <w:pPr>
        <w:numPr>
          <w:ilvl w:val="0"/>
          <w:numId w:val="43"/>
        </w:numPr>
      </w:pPr>
      <w:r w:rsidRPr="00501E12">
        <w:t xml:space="preserve">2000-2012: Market volatility despite continued GDP growth </w:t>
      </w:r>
    </w:p>
    <w:p w14:paraId="3A427CB4" w14:textId="77777777" w:rsidR="00501E12" w:rsidRPr="00501E12" w:rsidRDefault="00501E12" w:rsidP="00FA42C0">
      <w:pPr>
        <w:numPr>
          <w:ilvl w:val="1"/>
          <w:numId w:val="43"/>
        </w:numPr>
      </w:pPr>
      <w:r w:rsidRPr="00501E12">
        <w:t>Dot-com bubble (2000-2002)</w:t>
      </w:r>
    </w:p>
    <w:p w14:paraId="23B6E4C7" w14:textId="77777777" w:rsidR="00501E12" w:rsidRPr="00501E12" w:rsidRDefault="00501E12" w:rsidP="00FA42C0">
      <w:pPr>
        <w:numPr>
          <w:ilvl w:val="1"/>
          <w:numId w:val="43"/>
        </w:numPr>
      </w:pPr>
      <w:r w:rsidRPr="00501E12">
        <w:t>Financial crisis (2008-2009)</w:t>
      </w:r>
    </w:p>
    <w:p w14:paraId="3A736289" w14:textId="77777777" w:rsidR="00501E12" w:rsidRPr="00501E12" w:rsidRDefault="00501E12" w:rsidP="00FA42C0">
      <w:pPr>
        <w:numPr>
          <w:ilvl w:val="1"/>
          <w:numId w:val="43"/>
        </w:numPr>
      </w:pPr>
      <w:r w:rsidRPr="00501E12">
        <w:t>Post-crisis recovery</w:t>
      </w:r>
    </w:p>
    <w:p w14:paraId="7797FD1B" w14:textId="0716A75B" w:rsidR="00501E12" w:rsidRDefault="00501E12" w:rsidP="00501E12">
      <w:r w:rsidRPr="00501E12">
        <w:lastRenderedPageBreak/>
        <w:t xml:space="preserve">These </w:t>
      </w:r>
      <w:r w:rsidR="00A7219E" w:rsidRPr="00501E12">
        <w:t>visuals</w:t>
      </w:r>
      <w:r w:rsidRPr="00501E12">
        <w:t xml:space="preserve"> </w:t>
      </w:r>
      <w:r w:rsidR="00940F1B" w:rsidRPr="00501E12">
        <w:t>complement</w:t>
      </w:r>
      <w:r w:rsidRPr="00501E12">
        <w:t xml:space="preserve"> the previous growth rate comparison by showing absolute values, reinforcing our correlation findings (0.923) and highlighting how market values can swing dramatically even as GDP maintains steady growth.</w:t>
      </w:r>
    </w:p>
    <w:p w14:paraId="766BF3D7" w14:textId="77777777" w:rsidR="00501E12" w:rsidRDefault="00501E12" w:rsidP="00501E12"/>
    <w:p w14:paraId="2BD9419E" w14:textId="740547E3" w:rsidR="00501E12" w:rsidRPr="0042474F" w:rsidRDefault="0042474F" w:rsidP="0077630F">
      <w:pPr>
        <w:pStyle w:val="Heading5"/>
        <w:numPr>
          <w:ilvl w:val="0"/>
          <w:numId w:val="69"/>
        </w:numPr>
        <w:rPr>
          <w:b/>
          <w:bCs/>
        </w:rPr>
      </w:pPr>
      <w:bookmarkStart w:id="24" w:name="_Toc183390784"/>
      <w:r w:rsidRPr="0042474F">
        <w:rPr>
          <w:b/>
          <w:bCs/>
        </w:rPr>
        <w:t>Twin Bubbles: Housing and Stock Market Trajectories (1975-2011)</w:t>
      </w:r>
      <w:bookmarkEnd w:id="24"/>
    </w:p>
    <w:p w14:paraId="4FEE9360" w14:textId="5920AE51" w:rsidR="00B94157" w:rsidRPr="00501E12" w:rsidRDefault="00B94157" w:rsidP="00501E12">
      <w:r w:rsidRPr="00B94157">
        <w:rPr>
          <w:noProof/>
        </w:rPr>
        <w:drawing>
          <wp:inline distT="0" distB="0" distL="0" distR="0" wp14:anchorId="55CC45B2" wp14:editId="10D7D70E">
            <wp:extent cx="5943600" cy="3582035"/>
            <wp:effectExtent l="0" t="0" r="0" b="0"/>
            <wp:docPr id="459216181"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16181" name="Picture 1" descr="A graph showing a line&#10;&#10;Description automatically generated"/>
                    <pic:cNvPicPr/>
                  </pic:nvPicPr>
                  <pic:blipFill>
                    <a:blip r:embed="rId29"/>
                    <a:stretch>
                      <a:fillRect/>
                    </a:stretch>
                  </pic:blipFill>
                  <pic:spPr>
                    <a:xfrm>
                      <a:off x="0" y="0"/>
                      <a:ext cx="5943600" cy="3582035"/>
                    </a:xfrm>
                    <a:prstGeom prst="rect">
                      <a:avLst/>
                    </a:prstGeom>
                  </pic:spPr>
                </pic:pic>
              </a:graphicData>
            </a:graphic>
          </wp:inline>
        </w:drawing>
      </w:r>
    </w:p>
    <w:p w14:paraId="4565B6E2" w14:textId="77777777" w:rsidR="0042474F" w:rsidRPr="0042474F" w:rsidRDefault="0042474F" w:rsidP="0042474F">
      <w:r w:rsidRPr="0042474F">
        <w:t>This parallel visualization reveals the intricate relationship between the S&amp;P 500 and Housing Price Index (HPI), highlighting several critical periods:</w:t>
      </w:r>
    </w:p>
    <w:p w14:paraId="6A25CFB8" w14:textId="77777777" w:rsidR="0042474F" w:rsidRPr="0042474F" w:rsidRDefault="0042474F" w:rsidP="00FA42C0">
      <w:pPr>
        <w:numPr>
          <w:ilvl w:val="0"/>
          <w:numId w:val="44"/>
        </w:numPr>
      </w:pPr>
      <w:r w:rsidRPr="0042474F">
        <w:t>Pre-1995: Stable Growth</w:t>
      </w:r>
    </w:p>
    <w:p w14:paraId="479EBAF5" w14:textId="77777777" w:rsidR="0042474F" w:rsidRPr="0042474F" w:rsidRDefault="0042474F" w:rsidP="00FA42C0">
      <w:pPr>
        <w:numPr>
          <w:ilvl w:val="0"/>
          <w:numId w:val="45"/>
        </w:numPr>
      </w:pPr>
      <w:r w:rsidRPr="0042474F">
        <w:t>Both markets show steady but modest appreciation</w:t>
      </w:r>
    </w:p>
    <w:p w14:paraId="2F771F2C" w14:textId="77777777" w:rsidR="0042474F" w:rsidRPr="0042474F" w:rsidRDefault="0042474F" w:rsidP="00FA42C0">
      <w:pPr>
        <w:numPr>
          <w:ilvl w:val="0"/>
          <w:numId w:val="45"/>
        </w:numPr>
      </w:pPr>
      <w:r w:rsidRPr="0042474F">
        <w:t>Housing prices demonstrate more consistent growth</w:t>
      </w:r>
    </w:p>
    <w:p w14:paraId="07F3B07B" w14:textId="77777777" w:rsidR="0042474F" w:rsidRPr="0042474F" w:rsidRDefault="0042474F" w:rsidP="00FA42C0">
      <w:pPr>
        <w:numPr>
          <w:ilvl w:val="0"/>
          <w:numId w:val="45"/>
        </w:numPr>
      </w:pPr>
      <w:r w:rsidRPr="0042474F">
        <w:t>Stock market maintains relatively flat trajectory</w:t>
      </w:r>
    </w:p>
    <w:p w14:paraId="2AC61BD4" w14:textId="77777777" w:rsidR="0042474F" w:rsidRPr="0042474F" w:rsidRDefault="0042474F" w:rsidP="00FA42C0">
      <w:pPr>
        <w:numPr>
          <w:ilvl w:val="0"/>
          <w:numId w:val="46"/>
        </w:numPr>
      </w:pPr>
      <w:r w:rsidRPr="0042474F">
        <w:t>1995-2006: Dual Boom</w:t>
      </w:r>
    </w:p>
    <w:p w14:paraId="0D264FE3" w14:textId="77777777" w:rsidR="0042474F" w:rsidRPr="0042474F" w:rsidRDefault="0042474F" w:rsidP="00FA42C0">
      <w:pPr>
        <w:numPr>
          <w:ilvl w:val="0"/>
          <w:numId w:val="47"/>
        </w:numPr>
      </w:pPr>
      <w:r w:rsidRPr="0042474F">
        <w:t>Stock market surges dramatically</w:t>
      </w:r>
    </w:p>
    <w:p w14:paraId="11D36FF7" w14:textId="77777777" w:rsidR="0042474F" w:rsidRPr="0042474F" w:rsidRDefault="0042474F" w:rsidP="00FA42C0">
      <w:pPr>
        <w:numPr>
          <w:ilvl w:val="0"/>
          <w:numId w:val="47"/>
        </w:numPr>
      </w:pPr>
      <w:r w:rsidRPr="0042474F">
        <w:t>Housing prices begin accelerating</w:t>
      </w:r>
    </w:p>
    <w:p w14:paraId="777B088E" w14:textId="77777777" w:rsidR="0042474F" w:rsidRPr="0042474F" w:rsidRDefault="0042474F" w:rsidP="00FA42C0">
      <w:pPr>
        <w:numPr>
          <w:ilvl w:val="0"/>
          <w:numId w:val="47"/>
        </w:numPr>
      </w:pPr>
      <w:r w:rsidRPr="0042474F">
        <w:t>Both markets show unprecedented growth</w:t>
      </w:r>
    </w:p>
    <w:p w14:paraId="460427C5" w14:textId="77777777" w:rsidR="0042474F" w:rsidRPr="0042474F" w:rsidRDefault="0042474F" w:rsidP="00FA42C0">
      <w:pPr>
        <w:numPr>
          <w:ilvl w:val="0"/>
          <w:numId w:val="48"/>
        </w:numPr>
      </w:pPr>
      <w:r w:rsidRPr="0042474F">
        <w:t>2007-2011: Crisis and Recovery</w:t>
      </w:r>
    </w:p>
    <w:p w14:paraId="287697E5" w14:textId="77777777" w:rsidR="0042474F" w:rsidRPr="0042474F" w:rsidRDefault="0042474F" w:rsidP="00FA42C0">
      <w:pPr>
        <w:numPr>
          <w:ilvl w:val="0"/>
          <w:numId w:val="49"/>
        </w:numPr>
      </w:pPr>
      <w:r w:rsidRPr="0042474F">
        <w:t>Sharp stock market corrections (2008)</w:t>
      </w:r>
    </w:p>
    <w:p w14:paraId="68ADF22C" w14:textId="77777777" w:rsidR="0042474F" w:rsidRPr="0042474F" w:rsidRDefault="0042474F" w:rsidP="00FA42C0">
      <w:pPr>
        <w:numPr>
          <w:ilvl w:val="0"/>
          <w:numId w:val="49"/>
        </w:numPr>
      </w:pPr>
      <w:r w:rsidRPr="0042474F">
        <w:lastRenderedPageBreak/>
        <w:t>Housing prices plateau and decline</w:t>
      </w:r>
    </w:p>
    <w:p w14:paraId="743074D9" w14:textId="77777777" w:rsidR="0042474F" w:rsidRPr="0042474F" w:rsidRDefault="0042474F" w:rsidP="00FA42C0">
      <w:pPr>
        <w:numPr>
          <w:ilvl w:val="0"/>
          <w:numId w:val="49"/>
        </w:numPr>
      </w:pPr>
      <w:r w:rsidRPr="0042474F">
        <w:t>Stock market shows faster recovery than housing</w:t>
      </w:r>
    </w:p>
    <w:p w14:paraId="01FF9422" w14:textId="77777777" w:rsidR="0042474F" w:rsidRPr="0042474F" w:rsidRDefault="0042474F" w:rsidP="0042474F">
      <w:r w:rsidRPr="0042474F">
        <w:t>The visualization supports our high correlation finding (0.901) while revealing how both markets experienced similar boom-bust cycles, though with different recovery patterns. Housing prices show more "stickiness" during downturns compared to the more volatile stock market.</w:t>
      </w:r>
    </w:p>
    <w:p w14:paraId="5DFB4D2B" w14:textId="77777777" w:rsidR="00501E12" w:rsidRDefault="00501E12"/>
    <w:p w14:paraId="2C38BE54" w14:textId="77777777" w:rsidR="00E12D3A" w:rsidRDefault="00E12D3A"/>
    <w:p w14:paraId="1624F141" w14:textId="31303491" w:rsidR="00E12D3A" w:rsidRPr="00E12D3A" w:rsidRDefault="00E12D3A" w:rsidP="0077630F">
      <w:pPr>
        <w:pStyle w:val="Heading5"/>
        <w:numPr>
          <w:ilvl w:val="0"/>
          <w:numId w:val="69"/>
        </w:numPr>
        <w:rPr>
          <w:b/>
          <w:bCs/>
        </w:rPr>
      </w:pPr>
      <w:bookmarkStart w:id="25" w:name="_Toc183390785"/>
      <w:r w:rsidRPr="00E12D3A">
        <w:rPr>
          <w:b/>
          <w:bCs/>
        </w:rPr>
        <w:t>Housing Market Growth vs S&amp;P 500: A Tale of Two Metrics (1974-201</w:t>
      </w:r>
      <w:r>
        <w:rPr>
          <w:b/>
          <w:bCs/>
        </w:rPr>
        <w:t>2</w:t>
      </w:r>
      <w:r w:rsidRPr="00E12D3A">
        <w:rPr>
          <w:b/>
          <w:bCs/>
        </w:rPr>
        <w:t>)</w:t>
      </w:r>
      <w:bookmarkEnd w:id="25"/>
    </w:p>
    <w:p w14:paraId="073288C2" w14:textId="5E916507" w:rsidR="004B3ABF" w:rsidRDefault="004B3ABF">
      <w:r w:rsidRPr="004B3ABF">
        <w:rPr>
          <w:noProof/>
        </w:rPr>
        <w:drawing>
          <wp:inline distT="0" distB="0" distL="0" distR="0" wp14:anchorId="0ADDA459" wp14:editId="300DE3C9">
            <wp:extent cx="5943600" cy="3446780"/>
            <wp:effectExtent l="0" t="0" r="0" b="1270"/>
            <wp:docPr id="60523786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37861" name="Picture 1" descr="A graph with a line going up&#10;&#10;Description automatically generated"/>
                    <pic:cNvPicPr/>
                  </pic:nvPicPr>
                  <pic:blipFill>
                    <a:blip r:embed="rId30"/>
                    <a:stretch>
                      <a:fillRect/>
                    </a:stretch>
                  </pic:blipFill>
                  <pic:spPr>
                    <a:xfrm>
                      <a:off x="0" y="0"/>
                      <a:ext cx="5943600" cy="3446780"/>
                    </a:xfrm>
                    <a:prstGeom prst="rect">
                      <a:avLst/>
                    </a:prstGeom>
                  </pic:spPr>
                </pic:pic>
              </a:graphicData>
            </a:graphic>
          </wp:inline>
        </w:drawing>
      </w:r>
    </w:p>
    <w:p w14:paraId="32DBBF50" w14:textId="77777777" w:rsidR="004B3ABF" w:rsidRDefault="004B3ABF"/>
    <w:p w14:paraId="7BE0003A" w14:textId="77777777" w:rsidR="00E12D3A" w:rsidRPr="00E12D3A" w:rsidRDefault="00E12D3A" w:rsidP="00E12D3A">
      <w:r w:rsidRPr="00E12D3A">
        <w:t>This overlay visualization combines:</w:t>
      </w:r>
    </w:p>
    <w:p w14:paraId="5B75AD73" w14:textId="77777777" w:rsidR="00E12D3A" w:rsidRPr="00E12D3A" w:rsidRDefault="00E12D3A" w:rsidP="00FA42C0">
      <w:pPr>
        <w:numPr>
          <w:ilvl w:val="0"/>
          <w:numId w:val="50"/>
        </w:numPr>
      </w:pPr>
      <w:r w:rsidRPr="00E12D3A">
        <w:t>S&amp;P 500 values (blue area chart)</w:t>
      </w:r>
    </w:p>
    <w:p w14:paraId="4C8C02B2" w14:textId="77777777" w:rsidR="00E12D3A" w:rsidRPr="00E12D3A" w:rsidRDefault="00E12D3A" w:rsidP="00FA42C0">
      <w:pPr>
        <w:numPr>
          <w:ilvl w:val="0"/>
          <w:numId w:val="50"/>
        </w:numPr>
      </w:pPr>
      <w:r w:rsidRPr="00E12D3A">
        <w:t>Housing market yearly growth rates (orange line)</w:t>
      </w:r>
    </w:p>
    <w:p w14:paraId="32505269" w14:textId="77777777" w:rsidR="00E12D3A" w:rsidRPr="00E12D3A" w:rsidRDefault="00E12D3A" w:rsidP="00E12D3A">
      <w:r w:rsidRPr="00E12D3A">
        <w:t>Key Insights:</w:t>
      </w:r>
    </w:p>
    <w:p w14:paraId="4E7667A0" w14:textId="77777777" w:rsidR="00E12D3A" w:rsidRPr="00E12D3A" w:rsidRDefault="00E12D3A" w:rsidP="00FA42C0">
      <w:pPr>
        <w:numPr>
          <w:ilvl w:val="0"/>
          <w:numId w:val="51"/>
        </w:numPr>
      </w:pPr>
      <w:r w:rsidRPr="00E12D3A">
        <w:t>Early Volatility (1976-1980):</w:t>
      </w:r>
    </w:p>
    <w:p w14:paraId="2F724B07" w14:textId="77777777" w:rsidR="00E12D3A" w:rsidRPr="00E12D3A" w:rsidRDefault="00E12D3A" w:rsidP="00FA42C0">
      <w:pPr>
        <w:numPr>
          <w:ilvl w:val="0"/>
          <w:numId w:val="52"/>
        </w:numPr>
      </w:pPr>
      <w:r w:rsidRPr="00E12D3A">
        <w:t>Highest housing growth rates (~14%)</w:t>
      </w:r>
    </w:p>
    <w:p w14:paraId="4EB52695" w14:textId="77777777" w:rsidR="00E12D3A" w:rsidRPr="00E12D3A" w:rsidRDefault="00E12D3A" w:rsidP="00FA42C0">
      <w:pPr>
        <w:numPr>
          <w:ilvl w:val="0"/>
          <w:numId w:val="52"/>
        </w:numPr>
      </w:pPr>
      <w:r w:rsidRPr="00E12D3A">
        <w:t>Relatively modest S&amp;P 500 values</w:t>
      </w:r>
    </w:p>
    <w:p w14:paraId="1695F035" w14:textId="77777777" w:rsidR="00E12D3A" w:rsidRPr="00E12D3A" w:rsidRDefault="00E12D3A" w:rsidP="00FA42C0">
      <w:pPr>
        <w:numPr>
          <w:ilvl w:val="0"/>
          <w:numId w:val="52"/>
        </w:numPr>
      </w:pPr>
      <w:r w:rsidRPr="00E12D3A">
        <w:t>Period of high inflation</w:t>
      </w:r>
    </w:p>
    <w:p w14:paraId="112CDF13" w14:textId="77777777" w:rsidR="00E12D3A" w:rsidRPr="00E12D3A" w:rsidRDefault="00E12D3A" w:rsidP="00FA42C0">
      <w:pPr>
        <w:numPr>
          <w:ilvl w:val="0"/>
          <w:numId w:val="53"/>
        </w:numPr>
      </w:pPr>
      <w:r w:rsidRPr="00E12D3A">
        <w:lastRenderedPageBreak/>
        <w:t>Mid-Period Stability (1985-2000):</w:t>
      </w:r>
    </w:p>
    <w:p w14:paraId="017689C3" w14:textId="77777777" w:rsidR="00E12D3A" w:rsidRPr="00E12D3A" w:rsidRDefault="00E12D3A" w:rsidP="00FA42C0">
      <w:pPr>
        <w:numPr>
          <w:ilvl w:val="0"/>
          <w:numId w:val="54"/>
        </w:numPr>
      </w:pPr>
      <w:r w:rsidRPr="00E12D3A">
        <w:t>Moderate housing growth (4-6%)</w:t>
      </w:r>
    </w:p>
    <w:p w14:paraId="3B8FB79C" w14:textId="77777777" w:rsidR="00E12D3A" w:rsidRPr="00E12D3A" w:rsidRDefault="00E12D3A" w:rsidP="00FA42C0">
      <w:pPr>
        <w:numPr>
          <w:ilvl w:val="0"/>
          <w:numId w:val="54"/>
        </w:numPr>
      </w:pPr>
      <w:r w:rsidRPr="00E12D3A">
        <w:t>Steady S&amp;P 500 appreciation</w:t>
      </w:r>
    </w:p>
    <w:p w14:paraId="1383B73D" w14:textId="77777777" w:rsidR="00E12D3A" w:rsidRPr="00E12D3A" w:rsidRDefault="00E12D3A" w:rsidP="00FA42C0">
      <w:pPr>
        <w:numPr>
          <w:ilvl w:val="0"/>
          <w:numId w:val="54"/>
        </w:numPr>
      </w:pPr>
      <w:r w:rsidRPr="00E12D3A">
        <w:t>More balanced growth period</w:t>
      </w:r>
    </w:p>
    <w:p w14:paraId="3F195CC0" w14:textId="77777777" w:rsidR="00E12D3A" w:rsidRPr="00E12D3A" w:rsidRDefault="00E12D3A" w:rsidP="00FA42C0">
      <w:pPr>
        <w:numPr>
          <w:ilvl w:val="0"/>
          <w:numId w:val="55"/>
        </w:numPr>
      </w:pPr>
      <w:r w:rsidRPr="00E12D3A">
        <w:t>Crisis Period (2006-2010):</w:t>
      </w:r>
    </w:p>
    <w:p w14:paraId="4B08176D" w14:textId="77777777" w:rsidR="00E12D3A" w:rsidRPr="00E12D3A" w:rsidRDefault="00E12D3A" w:rsidP="00FA42C0">
      <w:pPr>
        <w:numPr>
          <w:ilvl w:val="0"/>
          <w:numId w:val="56"/>
        </w:numPr>
      </w:pPr>
      <w:r w:rsidRPr="00E12D3A">
        <w:t>Dramatic housing decline (-5%)</w:t>
      </w:r>
    </w:p>
    <w:p w14:paraId="10779D19" w14:textId="77777777" w:rsidR="00E12D3A" w:rsidRPr="00E12D3A" w:rsidRDefault="00E12D3A" w:rsidP="00FA42C0">
      <w:pPr>
        <w:numPr>
          <w:ilvl w:val="0"/>
          <w:numId w:val="56"/>
        </w:numPr>
      </w:pPr>
      <w:r w:rsidRPr="00E12D3A">
        <w:t>S&amp;P 500 maintains value better</w:t>
      </w:r>
    </w:p>
    <w:p w14:paraId="57D27C28" w14:textId="77777777" w:rsidR="00E12D3A" w:rsidRPr="00E12D3A" w:rsidRDefault="00E12D3A" w:rsidP="00FA42C0">
      <w:pPr>
        <w:numPr>
          <w:ilvl w:val="0"/>
          <w:numId w:val="56"/>
        </w:numPr>
      </w:pPr>
      <w:r w:rsidRPr="00E12D3A">
        <w:t>First negative housing growth in decades</w:t>
      </w:r>
    </w:p>
    <w:p w14:paraId="40F1ED96" w14:textId="77777777" w:rsidR="00E12D3A" w:rsidRDefault="00E12D3A" w:rsidP="00E12D3A">
      <w:r w:rsidRPr="00E12D3A">
        <w:t>This visualization effectively shows how housing growth rates don't always mirror stock market performance, with housing showing more extreme reactions during crisis periods despite the overall high correlation (0.901) between the two markets.</w:t>
      </w:r>
    </w:p>
    <w:p w14:paraId="1A5106F5" w14:textId="77777777" w:rsidR="00A7219E" w:rsidRDefault="00A7219E" w:rsidP="00E12D3A"/>
    <w:p w14:paraId="4924DDF9" w14:textId="77777777" w:rsidR="00A7219E" w:rsidRDefault="00A7219E" w:rsidP="00E12D3A"/>
    <w:p w14:paraId="7715375D" w14:textId="77777777" w:rsidR="00A7219E" w:rsidRDefault="00A7219E" w:rsidP="00E12D3A"/>
    <w:p w14:paraId="252EC3DE" w14:textId="77777777" w:rsidR="00A7219E" w:rsidRDefault="00A7219E" w:rsidP="00E12D3A"/>
    <w:p w14:paraId="0422DAB4" w14:textId="77777777" w:rsidR="00A7219E" w:rsidRDefault="00A7219E" w:rsidP="00E12D3A"/>
    <w:p w14:paraId="7CB69915" w14:textId="77777777" w:rsidR="00A7219E" w:rsidRDefault="00A7219E" w:rsidP="00E12D3A"/>
    <w:p w14:paraId="3898DB28" w14:textId="77777777" w:rsidR="00A7219E" w:rsidRDefault="00A7219E" w:rsidP="00E12D3A"/>
    <w:p w14:paraId="69FEACF8" w14:textId="77777777" w:rsidR="00A7219E" w:rsidRDefault="00A7219E" w:rsidP="00E12D3A"/>
    <w:p w14:paraId="7D2E896E" w14:textId="77777777" w:rsidR="00A7219E" w:rsidRDefault="00A7219E" w:rsidP="00E12D3A"/>
    <w:p w14:paraId="2F056F6B" w14:textId="77777777" w:rsidR="00A7219E" w:rsidRDefault="00A7219E" w:rsidP="00E12D3A"/>
    <w:p w14:paraId="7DDC539D" w14:textId="77777777" w:rsidR="00A7219E" w:rsidRDefault="00A7219E" w:rsidP="00E12D3A"/>
    <w:p w14:paraId="49E8C015" w14:textId="77777777" w:rsidR="00A7219E" w:rsidRDefault="00A7219E" w:rsidP="00E12D3A"/>
    <w:p w14:paraId="6CDCD50C" w14:textId="77777777" w:rsidR="00A7219E" w:rsidRDefault="00A7219E" w:rsidP="00E12D3A"/>
    <w:p w14:paraId="7594B225" w14:textId="77777777" w:rsidR="00A7219E" w:rsidRDefault="00A7219E" w:rsidP="0077630F">
      <w:pPr>
        <w:pStyle w:val="Heading1"/>
      </w:pPr>
    </w:p>
    <w:p w14:paraId="5B6C9141" w14:textId="77777777" w:rsidR="00940F1B" w:rsidRPr="00940F1B" w:rsidRDefault="00940F1B" w:rsidP="00940F1B"/>
    <w:p w14:paraId="1BE42F10" w14:textId="7F798FF5" w:rsidR="0029062C" w:rsidRPr="0029062C" w:rsidRDefault="0029062C" w:rsidP="0077630F">
      <w:pPr>
        <w:pStyle w:val="Heading1"/>
      </w:pPr>
      <w:bookmarkStart w:id="26" w:name="_Toc183390786"/>
      <w:r w:rsidRPr="0029062C">
        <w:lastRenderedPageBreak/>
        <w:t>Conclusio</w:t>
      </w:r>
      <w:r>
        <w:t>n</w:t>
      </w:r>
      <w:bookmarkEnd w:id="26"/>
    </w:p>
    <w:p w14:paraId="1BEE367B" w14:textId="77777777" w:rsidR="0029062C" w:rsidRPr="0029062C" w:rsidRDefault="0029062C" w:rsidP="0029062C">
      <w:r w:rsidRPr="0029062C">
        <w:t>Our visual and analytical exploration of financial markets and economic indicators from 1974-2013 reveals several key insights:</w:t>
      </w:r>
    </w:p>
    <w:p w14:paraId="1CACD2F8" w14:textId="77777777" w:rsidR="0029062C" w:rsidRPr="0029062C" w:rsidRDefault="0029062C" w:rsidP="00FA42C0">
      <w:pPr>
        <w:numPr>
          <w:ilvl w:val="0"/>
          <w:numId w:val="57"/>
        </w:numPr>
      </w:pPr>
      <w:r w:rsidRPr="0029062C">
        <w:t>Market-Economic Relationships</w:t>
      </w:r>
    </w:p>
    <w:p w14:paraId="2D26361B" w14:textId="77777777" w:rsidR="0029062C" w:rsidRPr="0029062C" w:rsidRDefault="0029062C" w:rsidP="00FA42C0">
      <w:pPr>
        <w:numPr>
          <w:ilvl w:val="0"/>
          <w:numId w:val="58"/>
        </w:numPr>
      </w:pPr>
      <w:r w:rsidRPr="0029062C">
        <w:t>Strong correlation between S&amp;P 500 and GDP (0.923)</w:t>
      </w:r>
    </w:p>
    <w:p w14:paraId="2DF684A0" w14:textId="77777777" w:rsidR="0029062C" w:rsidRPr="0029062C" w:rsidRDefault="0029062C" w:rsidP="00FA42C0">
      <w:pPr>
        <w:numPr>
          <w:ilvl w:val="0"/>
          <w:numId w:val="58"/>
        </w:numPr>
      </w:pPr>
      <w:r w:rsidRPr="0029062C">
        <w:t>High correlation between housing and stock markets (0.901)</w:t>
      </w:r>
    </w:p>
    <w:p w14:paraId="654AA74B" w14:textId="77777777" w:rsidR="0029062C" w:rsidRPr="0029062C" w:rsidRDefault="0029062C" w:rsidP="00FA42C0">
      <w:pPr>
        <w:numPr>
          <w:ilvl w:val="0"/>
          <w:numId w:val="58"/>
        </w:numPr>
      </w:pPr>
      <w:r w:rsidRPr="0029062C">
        <w:t>Markets show higher volatility than underlying economic metrics</w:t>
      </w:r>
    </w:p>
    <w:p w14:paraId="7C00D8C9" w14:textId="77777777" w:rsidR="0029062C" w:rsidRPr="0029062C" w:rsidRDefault="0029062C" w:rsidP="00FA42C0">
      <w:pPr>
        <w:numPr>
          <w:ilvl w:val="0"/>
          <w:numId w:val="59"/>
        </w:numPr>
      </w:pPr>
      <w:r w:rsidRPr="0029062C">
        <w:t>Distinct Economic Periods</w:t>
      </w:r>
    </w:p>
    <w:p w14:paraId="4789907A" w14:textId="77777777" w:rsidR="0029062C" w:rsidRPr="0029062C" w:rsidRDefault="0029062C" w:rsidP="00FA42C0">
      <w:pPr>
        <w:numPr>
          <w:ilvl w:val="0"/>
          <w:numId w:val="60"/>
        </w:numPr>
      </w:pPr>
      <w:r w:rsidRPr="0029062C">
        <w:t>1975-1993: Steady growth with high but declining volatility</w:t>
      </w:r>
    </w:p>
    <w:p w14:paraId="03788319" w14:textId="77777777" w:rsidR="0029062C" w:rsidRPr="0029062C" w:rsidRDefault="0029062C" w:rsidP="00FA42C0">
      <w:pPr>
        <w:numPr>
          <w:ilvl w:val="0"/>
          <w:numId w:val="60"/>
        </w:numPr>
      </w:pPr>
      <w:r w:rsidRPr="0029062C">
        <w:t>1994-2007: Accelerated growth across all metrics</w:t>
      </w:r>
    </w:p>
    <w:p w14:paraId="414A0357" w14:textId="77777777" w:rsidR="0029062C" w:rsidRPr="0029062C" w:rsidRDefault="0029062C" w:rsidP="00FA42C0">
      <w:pPr>
        <w:numPr>
          <w:ilvl w:val="0"/>
          <w:numId w:val="60"/>
        </w:numPr>
      </w:pPr>
      <w:r w:rsidRPr="0029062C">
        <w:t>2008-2013: Crisis and recovery phase</w:t>
      </w:r>
    </w:p>
    <w:p w14:paraId="4F6EEF5B" w14:textId="77777777" w:rsidR="0029062C" w:rsidRPr="0029062C" w:rsidRDefault="0029062C" w:rsidP="00FA42C0">
      <w:pPr>
        <w:numPr>
          <w:ilvl w:val="0"/>
          <w:numId w:val="61"/>
        </w:numPr>
      </w:pPr>
      <w:r w:rsidRPr="0029062C">
        <w:t>Critical Patterns</w:t>
      </w:r>
    </w:p>
    <w:p w14:paraId="6DE14C39" w14:textId="77777777" w:rsidR="0029062C" w:rsidRPr="0029062C" w:rsidRDefault="0029062C" w:rsidP="00FA42C0">
      <w:pPr>
        <w:numPr>
          <w:ilvl w:val="0"/>
          <w:numId w:val="62"/>
        </w:numPr>
      </w:pPr>
      <w:r w:rsidRPr="0029062C">
        <w:t>Stock market demonstrates faster recovery from shocks</w:t>
      </w:r>
    </w:p>
    <w:p w14:paraId="7736228F" w14:textId="77777777" w:rsidR="0029062C" w:rsidRPr="0029062C" w:rsidRDefault="0029062C" w:rsidP="00FA42C0">
      <w:pPr>
        <w:numPr>
          <w:ilvl w:val="0"/>
          <w:numId w:val="62"/>
        </w:numPr>
      </w:pPr>
      <w:r w:rsidRPr="0029062C">
        <w:t>Housing market shows more "sticky" behavior during downturns</w:t>
      </w:r>
    </w:p>
    <w:p w14:paraId="72D8D1E4" w14:textId="77777777" w:rsidR="0029062C" w:rsidRPr="0029062C" w:rsidRDefault="0029062C" w:rsidP="00FA42C0">
      <w:pPr>
        <w:numPr>
          <w:ilvl w:val="0"/>
          <w:numId w:val="62"/>
        </w:numPr>
      </w:pPr>
      <w:r w:rsidRPr="0029062C">
        <w:t>GDP maintains steadier growth despite market fluctuations</w:t>
      </w:r>
    </w:p>
    <w:p w14:paraId="312CE79D" w14:textId="55E7AFC8" w:rsidR="0029062C" w:rsidRDefault="0029062C" w:rsidP="00BA7EB4">
      <w:pPr>
        <w:numPr>
          <w:ilvl w:val="0"/>
          <w:numId w:val="62"/>
        </w:numPr>
      </w:pPr>
      <w:r w:rsidRPr="0029062C">
        <w:t>Day-of-week effects in trading patterns</w:t>
      </w:r>
    </w:p>
    <w:p w14:paraId="25AC243B" w14:textId="4639C44F" w:rsidR="0029062C" w:rsidRPr="0029062C" w:rsidRDefault="0029062C" w:rsidP="0029062C">
      <w:r w:rsidRPr="0029062C">
        <w:t>This analysis provides valuable insights for:</w:t>
      </w:r>
    </w:p>
    <w:p w14:paraId="57F6A07C" w14:textId="77777777" w:rsidR="0029062C" w:rsidRPr="0029062C" w:rsidRDefault="0029062C" w:rsidP="00FA42C0">
      <w:pPr>
        <w:numPr>
          <w:ilvl w:val="0"/>
          <w:numId w:val="63"/>
        </w:numPr>
      </w:pPr>
      <w:r w:rsidRPr="0029062C">
        <w:t>Investment strategy development</w:t>
      </w:r>
    </w:p>
    <w:p w14:paraId="2B77969B" w14:textId="77777777" w:rsidR="0029062C" w:rsidRPr="0029062C" w:rsidRDefault="0029062C" w:rsidP="00FA42C0">
      <w:pPr>
        <w:numPr>
          <w:ilvl w:val="0"/>
          <w:numId w:val="63"/>
        </w:numPr>
      </w:pPr>
      <w:r w:rsidRPr="0029062C">
        <w:t>Risk assessment and management</w:t>
      </w:r>
    </w:p>
    <w:p w14:paraId="25D97ED1" w14:textId="77777777" w:rsidR="0029062C" w:rsidRPr="0029062C" w:rsidRDefault="0029062C" w:rsidP="00FA42C0">
      <w:pPr>
        <w:numPr>
          <w:ilvl w:val="0"/>
          <w:numId w:val="63"/>
        </w:numPr>
      </w:pPr>
      <w:r w:rsidRPr="0029062C">
        <w:t>Understanding economic cycles</w:t>
      </w:r>
    </w:p>
    <w:p w14:paraId="23E2EED8" w14:textId="77777777" w:rsidR="0029062C" w:rsidRPr="0029062C" w:rsidRDefault="0029062C" w:rsidP="00FA42C0">
      <w:pPr>
        <w:numPr>
          <w:ilvl w:val="0"/>
          <w:numId w:val="63"/>
        </w:numPr>
      </w:pPr>
      <w:r w:rsidRPr="0029062C">
        <w:t>Policy impact evaluation</w:t>
      </w:r>
    </w:p>
    <w:p w14:paraId="1F1B1608" w14:textId="6B23F0E8" w:rsidR="00160C7B" w:rsidRDefault="0029062C" w:rsidP="00160C7B">
      <w:r w:rsidRPr="0029062C">
        <w:t>The data demonstrates how different economic indicators interact and influence each other, highlighting the interconnected nature of financial markets and the broader economy.</w:t>
      </w:r>
    </w:p>
    <w:p w14:paraId="4FBA64CF" w14:textId="625BECE0" w:rsidR="00FA42C0" w:rsidRPr="00627D2D" w:rsidRDefault="00FA42C0" w:rsidP="00627D2D">
      <w:pPr>
        <w:pStyle w:val="Heading5"/>
        <w:rPr>
          <w:b/>
          <w:bCs/>
        </w:rPr>
      </w:pPr>
      <w:bookmarkStart w:id="27" w:name="_Toc183390787"/>
      <w:r w:rsidRPr="00627D2D">
        <w:rPr>
          <w:b/>
          <w:bCs/>
        </w:rPr>
        <w:t>Project Conclusion:</w:t>
      </w:r>
      <w:bookmarkEnd w:id="27"/>
    </w:p>
    <w:p w14:paraId="7D9A620D" w14:textId="1049F26B" w:rsidR="00FA42C0" w:rsidRDefault="00FA42C0" w:rsidP="00FA42C0">
      <w:r w:rsidRPr="00FA42C0">
        <w:t>This project demonstrates the power of proper data warehousing and analytical techniques in understanding complex economic relationships, providing valuable insights for both investment decisions and policy considerations.</w:t>
      </w:r>
    </w:p>
    <w:p w14:paraId="53A39563" w14:textId="77777777" w:rsidR="005C7B70" w:rsidRPr="00AF3478" w:rsidRDefault="005C7B70" w:rsidP="005C7B70">
      <w:pPr>
        <w:rPr>
          <w:b/>
          <w:bCs/>
        </w:rPr>
      </w:pPr>
    </w:p>
    <w:p w14:paraId="74DC93E3" w14:textId="77777777" w:rsidR="005C7B70" w:rsidRPr="005C7B70" w:rsidRDefault="005C7B70" w:rsidP="005C7B70"/>
    <w:sectPr w:rsidR="005C7B70" w:rsidRPr="005C7B70" w:rsidSect="001A1B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F0A51" w14:textId="77777777" w:rsidR="00E05274" w:rsidRDefault="00E05274" w:rsidP="00E05274">
      <w:pPr>
        <w:spacing w:after="0" w:line="240" w:lineRule="auto"/>
      </w:pPr>
      <w:r>
        <w:separator/>
      </w:r>
    </w:p>
  </w:endnote>
  <w:endnote w:type="continuationSeparator" w:id="0">
    <w:p w14:paraId="4FC551E6" w14:textId="77777777" w:rsidR="00E05274" w:rsidRDefault="00E05274" w:rsidP="00E0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0CC5E" w14:textId="77777777" w:rsidR="00E05274" w:rsidRDefault="00E05274" w:rsidP="00E05274">
      <w:pPr>
        <w:spacing w:after="0" w:line="240" w:lineRule="auto"/>
      </w:pPr>
      <w:r>
        <w:separator/>
      </w:r>
    </w:p>
  </w:footnote>
  <w:footnote w:type="continuationSeparator" w:id="0">
    <w:p w14:paraId="58EB7167" w14:textId="77777777" w:rsidR="00E05274" w:rsidRDefault="00E05274" w:rsidP="00E05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8CB"/>
    <w:multiLevelType w:val="multilevel"/>
    <w:tmpl w:val="E8C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863"/>
    <w:multiLevelType w:val="multilevel"/>
    <w:tmpl w:val="A3962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12EB"/>
    <w:multiLevelType w:val="multilevel"/>
    <w:tmpl w:val="E6D073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26BD6"/>
    <w:multiLevelType w:val="multilevel"/>
    <w:tmpl w:val="9C3C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B4B30"/>
    <w:multiLevelType w:val="multilevel"/>
    <w:tmpl w:val="56F2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E1E8F"/>
    <w:multiLevelType w:val="multilevel"/>
    <w:tmpl w:val="3022E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27A9E"/>
    <w:multiLevelType w:val="multilevel"/>
    <w:tmpl w:val="853A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1571"/>
    <w:multiLevelType w:val="multilevel"/>
    <w:tmpl w:val="9B5E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A7DCF"/>
    <w:multiLevelType w:val="multilevel"/>
    <w:tmpl w:val="8550EA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665974"/>
    <w:multiLevelType w:val="multilevel"/>
    <w:tmpl w:val="E53E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C7832"/>
    <w:multiLevelType w:val="multilevel"/>
    <w:tmpl w:val="AC06F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E90BF5"/>
    <w:multiLevelType w:val="multilevel"/>
    <w:tmpl w:val="7032B4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61AA5"/>
    <w:multiLevelType w:val="multilevel"/>
    <w:tmpl w:val="CF1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E11CF"/>
    <w:multiLevelType w:val="multilevel"/>
    <w:tmpl w:val="7032B4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83B00"/>
    <w:multiLevelType w:val="multilevel"/>
    <w:tmpl w:val="3E442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0E489F"/>
    <w:multiLevelType w:val="multilevel"/>
    <w:tmpl w:val="875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B2F3D"/>
    <w:multiLevelType w:val="multilevel"/>
    <w:tmpl w:val="D47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063E0"/>
    <w:multiLevelType w:val="hybridMultilevel"/>
    <w:tmpl w:val="74F4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A606E"/>
    <w:multiLevelType w:val="multilevel"/>
    <w:tmpl w:val="67BC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623BF"/>
    <w:multiLevelType w:val="multilevel"/>
    <w:tmpl w:val="116EF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333462"/>
    <w:multiLevelType w:val="multilevel"/>
    <w:tmpl w:val="A36032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B5C1CEF"/>
    <w:multiLevelType w:val="multilevel"/>
    <w:tmpl w:val="8DA699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BBA2791"/>
    <w:multiLevelType w:val="multilevel"/>
    <w:tmpl w:val="5C7435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BBC0452"/>
    <w:multiLevelType w:val="multilevel"/>
    <w:tmpl w:val="FE12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C7DA5"/>
    <w:multiLevelType w:val="multilevel"/>
    <w:tmpl w:val="FD6A84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3447FBA"/>
    <w:multiLevelType w:val="multilevel"/>
    <w:tmpl w:val="A906CE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34A5169"/>
    <w:multiLevelType w:val="multilevel"/>
    <w:tmpl w:val="EBB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D678B8"/>
    <w:multiLevelType w:val="multilevel"/>
    <w:tmpl w:val="1C0202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6FC1DCA"/>
    <w:multiLevelType w:val="multilevel"/>
    <w:tmpl w:val="2082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243AE"/>
    <w:multiLevelType w:val="multilevel"/>
    <w:tmpl w:val="4F0CFC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87A4E8B"/>
    <w:multiLevelType w:val="multilevel"/>
    <w:tmpl w:val="FB70A2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39204FEF"/>
    <w:multiLevelType w:val="multilevel"/>
    <w:tmpl w:val="9B42B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A4B09A7"/>
    <w:multiLevelType w:val="hybridMultilevel"/>
    <w:tmpl w:val="DDA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C21F96"/>
    <w:multiLevelType w:val="multilevel"/>
    <w:tmpl w:val="CF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70793C"/>
    <w:multiLevelType w:val="multilevel"/>
    <w:tmpl w:val="6F3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B723C8"/>
    <w:multiLevelType w:val="multilevel"/>
    <w:tmpl w:val="C6EC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0033E"/>
    <w:multiLevelType w:val="multilevel"/>
    <w:tmpl w:val="3A5AE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863B4"/>
    <w:multiLevelType w:val="multilevel"/>
    <w:tmpl w:val="7032B4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821EE1"/>
    <w:multiLevelType w:val="multilevel"/>
    <w:tmpl w:val="B970B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68248B"/>
    <w:multiLevelType w:val="multilevel"/>
    <w:tmpl w:val="33B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75FC8"/>
    <w:multiLevelType w:val="hybridMultilevel"/>
    <w:tmpl w:val="734C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973485"/>
    <w:multiLevelType w:val="multilevel"/>
    <w:tmpl w:val="223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B4089A"/>
    <w:multiLevelType w:val="multilevel"/>
    <w:tmpl w:val="396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532885"/>
    <w:multiLevelType w:val="multilevel"/>
    <w:tmpl w:val="82EAD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D36DD7"/>
    <w:multiLevelType w:val="multilevel"/>
    <w:tmpl w:val="25FC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3C0AD1"/>
    <w:multiLevelType w:val="multilevel"/>
    <w:tmpl w:val="2FDA1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3938E8"/>
    <w:multiLevelType w:val="multilevel"/>
    <w:tmpl w:val="A51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4D1AA6"/>
    <w:multiLevelType w:val="multilevel"/>
    <w:tmpl w:val="F16C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D7CC0"/>
    <w:multiLevelType w:val="multilevel"/>
    <w:tmpl w:val="7032B4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B676AB"/>
    <w:multiLevelType w:val="multilevel"/>
    <w:tmpl w:val="AFF6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077D1"/>
    <w:multiLevelType w:val="multilevel"/>
    <w:tmpl w:val="A79EE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E32916"/>
    <w:multiLevelType w:val="multilevel"/>
    <w:tmpl w:val="D2186E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5FF4FA6"/>
    <w:multiLevelType w:val="multilevel"/>
    <w:tmpl w:val="9806C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C173662"/>
    <w:multiLevelType w:val="multilevel"/>
    <w:tmpl w:val="2876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376387"/>
    <w:multiLevelType w:val="multilevel"/>
    <w:tmpl w:val="FC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642F66"/>
    <w:multiLevelType w:val="multilevel"/>
    <w:tmpl w:val="196A687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606B3ADC"/>
    <w:multiLevelType w:val="multilevel"/>
    <w:tmpl w:val="80E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ED32ED"/>
    <w:multiLevelType w:val="multilevel"/>
    <w:tmpl w:val="E670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62BC6"/>
    <w:multiLevelType w:val="multilevel"/>
    <w:tmpl w:val="F4DE96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63A216AA"/>
    <w:multiLevelType w:val="multilevel"/>
    <w:tmpl w:val="4B4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EC575B"/>
    <w:multiLevelType w:val="multilevel"/>
    <w:tmpl w:val="127C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E08D8"/>
    <w:multiLevelType w:val="multilevel"/>
    <w:tmpl w:val="0456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7F79FB"/>
    <w:multiLevelType w:val="multilevel"/>
    <w:tmpl w:val="D6503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EF09F6"/>
    <w:multiLevelType w:val="multilevel"/>
    <w:tmpl w:val="8CDC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F12BF0"/>
    <w:multiLevelType w:val="multilevel"/>
    <w:tmpl w:val="C5F843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744C4BC7"/>
    <w:multiLevelType w:val="hybridMultilevel"/>
    <w:tmpl w:val="C760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6D27DA"/>
    <w:multiLevelType w:val="multilevel"/>
    <w:tmpl w:val="08C2711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779B493A"/>
    <w:multiLevelType w:val="multilevel"/>
    <w:tmpl w:val="F87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8C27A0"/>
    <w:multiLevelType w:val="multilevel"/>
    <w:tmpl w:val="CE8C5E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7BE1496C"/>
    <w:multiLevelType w:val="multilevel"/>
    <w:tmpl w:val="DF0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278176">
    <w:abstractNumId w:val="59"/>
  </w:num>
  <w:num w:numId="2" w16cid:durableId="143622018">
    <w:abstractNumId w:val="46"/>
  </w:num>
  <w:num w:numId="3" w16cid:durableId="1488863714">
    <w:abstractNumId w:val="53"/>
  </w:num>
  <w:num w:numId="4" w16cid:durableId="1216545843">
    <w:abstractNumId w:val="39"/>
  </w:num>
  <w:num w:numId="5" w16cid:durableId="2105611901">
    <w:abstractNumId w:val="35"/>
  </w:num>
  <w:num w:numId="6" w16cid:durableId="907233015">
    <w:abstractNumId w:val="58"/>
  </w:num>
  <w:num w:numId="7" w16cid:durableId="1332567557">
    <w:abstractNumId w:val="38"/>
  </w:num>
  <w:num w:numId="8" w16cid:durableId="1485665446">
    <w:abstractNumId w:val="16"/>
  </w:num>
  <w:num w:numId="9" w16cid:durableId="70394334">
    <w:abstractNumId w:val="44"/>
  </w:num>
  <w:num w:numId="10" w16cid:durableId="2100976708">
    <w:abstractNumId w:val="66"/>
  </w:num>
  <w:num w:numId="11" w16cid:durableId="1634216498">
    <w:abstractNumId w:val="55"/>
  </w:num>
  <w:num w:numId="12" w16cid:durableId="1939095156">
    <w:abstractNumId w:val="63"/>
  </w:num>
  <w:num w:numId="13" w16cid:durableId="1854025869">
    <w:abstractNumId w:val="48"/>
  </w:num>
  <w:num w:numId="14" w16cid:durableId="678969829">
    <w:abstractNumId w:val="28"/>
  </w:num>
  <w:num w:numId="15" w16cid:durableId="1360814887">
    <w:abstractNumId w:val="17"/>
  </w:num>
  <w:num w:numId="16" w16cid:durableId="1183013024">
    <w:abstractNumId w:val="67"/>
  </w:num>
  <w:num w:numId="17" w16cid:durableId="1989628573">
    <w:abstractNumId w:val="12"/>
  </w:num>
  <w:num w:numId="18" w16cid:durableId="1099957313">
    <w:abstractNumId w:val="47"/>
  </w:num>
  <w:num w:numId="19" w16cid:durableId="1139028285">
    <w:abstractNumId w:val="18"/>
  </w:num>
  <w:num w:numId="20" w16cid:durableId="971054502">
    <w:abstractNumId w:val="0"/>
  </w:num>
  <w:num w:numId="21" w16cid:durableId="1111587204">
    <w:abstractNumId w:val="34"/>
  </w:num>
  <w:num w:numId="22" w16cid:durableId="1064572523">
    <w:abstractNumId w:val="61"/>
  </w:num>
  <w:num w:numId="23" w16cid:durableId="1094326591">
    <w:abstractNumId w:val="7"/>
  </w:num>
  <w:num w:numId="24" w16cid:durableId="1189752943">
    <w:abstractNumId w:val="60"/>
  </w:num>
  <w:num w:numId="25" w16cid:durableId="488405288">
    <w:abstractNumId w:val="26"/>
  </w:num>
  <w:num w:numId="26" w16cid:durableId="2013682052">
    <w:abstractNumId w:val="41"/>
  </w:num>
  <w:num w:numId="27" w16cid:durableId="1335915461">
    <w:abstractNumId w:val="56"/>
  </w:num>
  <w:num w:numId="28" w16cid:durableId="1713534119">
    <w:abstractNumId w:val="5"/>
  </w:num>
  <w:num w:numId="29" w16cid:durableId="585922757">
    <w:abstractNumId w:val="69"/>
  </w:num>
  <w:num w:numId="30" w16cid:durableId="642586493">
    <w:abstractNumId w:val="6"/>
  </w:num>
  <w:num w:numId="31" w16cid:durableId="815995348">
    <w:abstractNumId w:val="51"/>
  </w:num>
  <w:num w:numId="32" w16cid:durableId="1092749329">
    <w:abstractNumId w:val="14"/>
  </w:num>
  <w:num w:numId="33" w16cid:durableId="2113238577">
    <w:abstractNumId w:val="21"/>
  </w:num>
  <w:num w:numId="34" w16cid:durableId="192427471">
    <w:abstractNumId w:val="1"/>
  </w:num>
  <w:num w:numId="35" w16cid:durableId="702709242">
    <w:abstractNumId w:val="8"/>
  </w:num>
  <w:num w:numId="36" w16cid:durableId="680738058">
    <w:abstractNumId w:val="3"/>
  </w:num>
  <w:num w:numId="37" w16cid:durableId="973482516">
    <w:abstractNumId w:val="64"/>
  </w:num>
  <w:num w:numId="38" w16cid:durableId="1102336333">
    <w:abstractNumId w:val="62"/>
  </w:num>
  <w:num w:numId="39" w16cid:durableId="419907623">
    <w:abstractNumId w:val="22"/>
  </w:num>
  <w:num w:numId="40" w16cid:durableId="1240166752">
    <w:abstractNumId w:val="9"/>
  </w:num>
  <w:num w:numId="41" w16cid:durableId="1479149012">
    <w:abstractNumId w:val="29"/>
  </w:num>
  <w:num w:numId="42" w16cid:durableId="1848908211">
    <w:abstractNumId w:val="43"/>
  </w:num>
  <w:num w:numId="43" w16cid:durableId="782726867">
    <w:abstractNumId w:val="20"/>
  </w:num>
  <w:num w:numId="44" w16cid:durableId="1049691504">
    <w:abstractNumId w:val="57"/>
  </w:num>
  <w:num w:numId="45" w16cid:durableId="874854633">
    <w:abstractNumId w:val="31"/>
  </w:num>
  <w:num w:numId="46" w16cid:durableId="488181751">
    <w:abstractNumId w:val="10"/>
  </w:num>
  <w:num w:numId="47" w16cid:durableId="77021074">
    <w:abstractNumId w:val="27"/>
  </w:num>
  <w:num w:numId="48" w16cid:durableId="544025870">
    <w:abstractNumId w:val="2"/>
  </w:num>
  <w:num w:numId="49" w16cid:durableId="1363627964">
    <w:abstractNumId w:val="24"/>
  </w:num>
  <w:num w:numId="50" w16cid:durableId="1621035549">
    <w:abstractNumId w:val="33"/>
  </w:num>
  <w:num w:numId="51" w16cid:durableId="931819509">
    <w:abstractNumId w:val="23"/>
  </w:num>
  <w:num w:numId="52" w16cid:durableId="1789356237">
    <w:abstractNumId w:val="54"/>
  </w:num>
  <w:num w:numId="53" w16cid:durableId="1005981278">
    <w:abstractNumId w:val="45"/>
  </w:num>
  <w:num w:numId="54" w16cid:durableId="752162765">
    <w:abstractNumId w:val="42"/>
  </w:num>
  <w:num w:numId="55" w16cid:durableId="1990816355">
    <w:abstractNumId w:val="36"/>
  </w:num>
  <w:num w:numId="56" w16cid:durableId="595133772">
    <w:abstractNumId w:val="15"/>
  </w:num>
  <w:num w:numId="57" w16cid:durableId="1501966181">
    <w:abstractNumId w:val="4"/>
  </w:num>
  <w:num w:numId="58" w16cid:durableId="1346321837">
    <w:abstractNumId w:val="68"/>
  </w:num>
  <w:num w:numId="59" w16cid:durableId="557593408">
    <w:abstractNumId w:val="50"/>
  </w:num>
  <w:num w:numId="60" w16cid:durableId="185564149">
    <w:abstractNumId w:val="52"/>
  </w:num>
  <w:num w:numId="61" w16cid:durableId="620842206">
    <w:abstractNumId w:val="19"/>
  </w:num>
  <w:num w:numId="62" w16cid:durableId="84695748">
    <w:abstractNumId w:val="25"/>
  </w:num>
  <w:num w:numId="63" w16cid:durableId="1507940872">
    <w:abstractNumId w:val="49"/>
  </w:num>
  <w:num w:numId="64" w16cid:durableId="2032682127">
    <w:abstractNumId w:val="65"/>
  </w:num>
  <w:num w:numId="65" w16cid:durableId="655111993">
    <w:abstractNumId w:val="37"/>
  </w:num>
  <w:num w:numId="66" w16cid:durableId="2116486058">
    <w:abstractNumId w:val="32"/>
  </w:num>
  <w:num w:numId="67" w16cid:durableId="1760830347">
    <w:abstractNumId w:val="40"/>
  </w:num>
  <w:num w:numId="68" w16cid:durableId="615327543">
    <w:abstractNumId w:val="11"/>
  </w:num>
  <w:num w:numId="69" w16cid:durableId="2078357080">
    <w:abstractNumId w:val="13"/>
  </w:num>
  <w:num w:numId="70" w16cid:durableId="1734541867">
    <w:abstractNumId w:val="3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E0"/>
    <w:rsid w:val="000255C2"/>
    <w:rsid w:val="00025998"/>
    <w:rsid w:val="00057CC6"/>
    <w:rsid w:val="000604CF"/>
    <w:rsid w:val="0008786B"/>
    <w:rsid w:val="000A61CB"/>
    <w:rsid w:val="000B47D4"/>
    <w:rsid w:val="000E0168"/>
    <w:rsid w:val="000E420D"/>
    <w:rsid w:val="000E4ACB"/>
    <w:rsid w:val="000F55C2"/>
    <w:rsid w:val="00102818"/>
    <w:rsid w:val="0011085D"/>
    <w:rsid w:val="0011783F"/>
    <w:rsid w:val="00140B53"/>
    <w:rsid w:val="00143432"/>
    <w:rsid w:val="00154238"/>
    <w:rsid w:val="00160C7B"/>
    <w:rsid w:val="00162004"/>
    <w:rsid w:val="00182DA8"/>
    <w:rsid w:val="001969FB"/>
    <w:rsid w:val="00197DF8"/>
    <w:rsid w:val="001A1BD8"/>
    <w:rsid w:val="001B3833"/>
    <w:rsid w:val="001D2E4F"/>
    <w:rsid w:val="0022089A"/>
    <w:rsid w:val="0029062C"/>
    <w:rsid w:val="002B28DD"/>
    <w:rsid w:val="002E7DFB"/>
    <w:rsid w:val="002F0041"/>
    <w:rsid w:val="003121D5"/>
    <w:rsid w:val="00365B5D"/>
    <w:rsid w:val="0037042E"/>
    <w:rsid w:val="00371F84"/>
    <w:rsid w:val="00373F62"/>
    <w:rsid w:val="00383423"/>
    <w:rsid w:val="00395B62"/>
    <w:rsid w:val="003A6CB7"/>
    <w:rsid w:val="003D5A85"/>
    <w:rsid w:val="003F598C"/>
    <w:rsid w:val="0041098D"/>
    <w:rsid w:val="004233A6"/>
    <w:rsid w:val="0042474F"/>
    <w:rsid w:val="00433399"/>
    <w:rsid w:val="00472907"/>
    <w:rsid w:val="004B3ABF"/>
    <w:rsid w:val="004C7B6F"/>
    <w:rsid w:val="00501963"/>
    <w:rsid w:val="00501E12"/>
    <w:rsid w:val="005509A0"/>
    <w:rsid w:val="005A5E7F"/>
    <w:rsid w:val="005A7DF8"/>
    <w:rsid w:val="005B37B1"/>
    <w:rsid w:val="005C7B70"/>
    <w:rsid w:val="005E00E3"/>
    <w:rsid w:val="00620EC7"/>
    <w:rsid w:val="00623F83"/>
    <w:rsid w:val="00624146"/>
    <w:rsid w:val="00627D2D"/>
    <w:rsid w:val="00673811"/>
    <w:rsid w:val="006773DA"/>
    <w:rsid w:val="00683EEB"/>
    <w:rsid w:val="00687BF4"/>
    <w:rsid w:val="006B30BB"/>
    <w:rsid w:val="0074597F"/>
    <w:rsid w:val="00761F6B"/>
    <w:rsid w:val="0077630F"/>
    <w:rsid w:val="007E0CB4"/>
    <w:rsid w:val="007E76A6"/>
    <w:rsid w:val="007F3EFB"/>
    <w:rsid w:val="007F67E0"/>
    <w:rsid w:val="00842549"/>
    <w:rsid w:val="00845850"/>
    <w:rsid w:val="00881FD5"/>
    <w:rsid w:val="008D01C8"/>
    <w:rsid w:val="008E5C71"/>
    <w:rsid w:val="0090263C"/>
    <w:rsid w:val="009403BC"/>
    <w:rsid w:val="00940F1B"/>
    <w:rsid w:val="009479C5"/>
    <w:rsid w:val="00967609"/>
    <w:rsid w:val="009D2302"/>
    <w:rsid w:val="009E50EB"/>
    <w:rsid w:val="009F0B83"/>
    <w:rsid w:val="009F2543"/>
    <w:rsid w:val="009F3D61"/>
    <w:rsid w:val="00A147FA"/>
    <w:rsid w:val="00A205C2"/>
    <w:rsid w:val="00A30EE7"/>
    <w:rsid w:val="00A7219E"/>
    <w:rsid w:val="00AA0AAC"/>
    <w:rsid w:val="00AC63EE"/>
    <w:rsid w:val="00AD6E4E"/>
    <w:rsid w:val="00AD774D"/>
    <w:rsid w:val="00AF3478"/>
    <w:rsid w:val="00AF55DA"/>
    <w:rsid w:val="00B12E6A"/>
    <w:rsid w:val="00B14441"/>
    <w:rsid w:val="00B2178C"/>
    <w:rsid w:val="00B3156B"/>
    <w:rsid w:val="00B711C6"/>
    <w:rsid w:val="00B73ECA"/>
    <w:rsid w:val="00B82C48"/>
    <w:rsid w:val="00B917FA"/>
    <w:rsid w:val="00B94157"/>
    <w:rsid w:val="00BA7EB4"/>
    <w:rsid w:val="00C2338E"/>
    <w:rsid w:val="00C241B0"/>
    <w:rsid w:val="00C65E9B"/>
    <w:rsid w:val="00C8366F"/>
    <w:rsid w:val="00C85042"/>
    <w:rsid w:val="00C95B7B"/>
    <w:rsid w:val="00CB3C02"/>
    <w:rsid w:val="00CC5523"/>
    <w:rsid w:val="00CD4A55"/>
    <w:rsid w:val="00CD4BA4"/>
    <w:rsid w:val="00CD4BCA"/>
    <w:rsid w:val="00CE6232"/>
    <w:rsid w:val="00CF0715"/>
    <w:rsid w:val="00D039A9"/>
    <w:rsid w:val="00D15ACF"/>
    <w:rsid w:val="00D20528"/>
    <w:rsid w:val="00D31DDA"/>
    <w:rsid w:val="00D32082"/>
    <w:rsid w:val="00D42571"/>
    <w:rsid w:val="00D57B1D"/>
    <w:rsid w:val="00D67DD2"/>
    <w:rsid w:val="00D67F80"/>
    <w:rsid w:val="00DD73A3"/>
    <w:rsid w:val="00E05274"/>
    <w:rsid w:val="00E126D5"/>
    <w:rsid w:val="00E12D3A"/>
    <w:rsid w:val="00E36A86"/>
    <w:rsid w:val="00E36A8F"/>
    <w:rsid w:val="00E4406F"/>
    <w:rsid w:val="00E46168"/>
    <w:rsid w:val="00E546FC"/>
    <w:rsid w:val="00E77516"/>
    <w:rsid w:val="00EE2E4A"/>
    <w:rsid w:val="00F841B6"/>
    <w:rsid w:val="00FA361F"/>
    <w:rsid w:val="00FA42C0"/>
    <w:rsid w:val="00FB3142"/>
    <w:rsid w:val="00FE6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8090"/>
  <w15:chartTrackingRefBased/>
  <w15:docId w15:val="{C6DEEFE9-EB65-4639-B410-ED751CDC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70"/>
  </w:style>
  <w:style w:type="paragraph" w:styleId="Heading1">
    <w:name w:val="heading 1"/>
    <w:basedOn w:val="Normal"/>
    <w:next w:val="Normal"/>
    <w:link w:val="Heading1Char"/>
    <w:uiPriority w:val="9"/>
    <w:qFormat/>
    <w:rsid w:val="007F6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6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6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E0"/>
    <w:rPr>
      <w:rFonts w:eastAsiaTheme="majorEastAsia" w:cstheme="majorBidi"/>
      <w:color w:val="272727" w:themeColor="text1" w:themeTint="D8"/>
    </w:rPr>
  </w:style>
  <w:style w:type="paragraph" w:styleId="Title">
    <w:name w:val="Title"/>
    <w:basedOn w:val="Normal"/>
    <w:next w:val="Normal"/>
    <w:link w:val="TitleChar"/>
    <w:uiPriority w:val="10"/>
    <w:qFormat/>
    <w:rsid w:val="007F6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E0"/>
    <w:pPr>
      <w:spacing w:before="160"/>
      <w:jc w:val="center"/>
    </w:pPr>
    <w:rPr>
      <w:i/>
      <w:iCs/>
      <w:color w:val="404040" w:themeColor="text1" w:themeTint="BF"/>
    </w:rPr>
  </w:style>
  <w:style w:type="character" w:customStyle="1" w:styleId="QuoteChar">
    <w:name w:val="Quote Char"/>
    <w:basedOn w:val="DefaultParagraphFont"/>
    <w:link w:val="Quote"/>
    <w:uiPriority w:val="29"/>
    <w:rsid w:val="007F67E0"/>
    <w:rPr>
      <w:i/>
      <w:iCs/>
      <w:color w:val="404040" w:themeColor="text1" w:themeTint="BF"/>
    </w:rPr>
  </w:style>
  <w:style w:type="paragraph" w:styleId="ListParagraph">
    <w:name w:val="List Paragraph"/>
    <w:basedOn w:val="Normal"/>
    <w:uiPriority w:val="34"/>
    <w:qFormat/>
    <w:rsid w:val="007F67E0"/>
    <w:pPr>
      <w:ind w:left="720"/>
      <w:contextualSpacing/>
    </w:pPr>
  </w:style>
  <w:style w:type="character" w:styleId="IntenseEmphasis">
    <w:name w:val="Intense Emphasis"/>
    <w:basedOn w:val="DefaultParagraphFont"/>
    <w:uiPriority w:val="21"/>
    <w:qFormat/>
    <w:rsid w:val="007F67E0"/>
    <w:rPr>
      <w:i/>
      <w:iCs/>
      <w:color w:val="0F4761" w:themeColor="accent1" w:themeShade="BF"/>
    </w:rPr>
  </w:style>
  <w:style w:type="paragraph" w:styleId="IntenseQuote">
    <w:name w:val="Intense Quote"/>
    <w:basedOn w:val="Normal"/>
    <w:next w:val="Normal"/>
    <w:link w:val="IntenseQuoteChar"/>
    <w:uiPriority w:val="30"/>
    <w:qFormat/>
    <w:rsid w:val="007F6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7E0"/>
    <w:rPr>
      <w:i/>
      <w:iCs/>
      <w:color w:val="0F4761" w:themeColor="accent1" w:themeShade="BF"/>
    </w:rPr>
  </w:style>
  <w:style w:type="character" w:styleId="IntenseReference">
    <w:name w:val="Intense Reference"/>
    <w:basedOn w:val="DefaultParagraphFont"/>
    <w:uiPriority w:val="32"/>
    <w:qFormat/>
    <w:rsid w:val="007F67E0"/>
    <w:rPr>
      <w:b/>
      <w:bCs/>
      <w:smallCaps/>
      <w:color w:val="0F4761" w:themeColor="accent1" w:themeShade="BF"/>
      <w:spacing w:val="5"/>
    </w:rPr>
  </w:style>
  <w:style w:type="character" w:styleId="Strong">
    <w:name w:val="Strong"/>
    <w:basedOn w:val="DefaultParagraphFont"/>
    <w:uiPriority w:val="22"/>
    <w:qFormat/>
    <w:rsid w:val="007F67E0"/>
    <w:rPr>
      <w:b/>
      <w:bCs/>
    </w:rPr>
  </w:style>
  <w:style w:type="paragraph" w:styleId="NormalWeb">
    <w:name w:val="Normal (Web)"/>
    <w:basedOn w:val="Normal"/>
    <w:uiPriority w:val="99"/>
    <w:semiHidden/>
    <w:unhideWhenUsed/>
    <w:rsid w:val="007F67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1A1B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A1BD8"/>
    <w:rPr>
      <w:rFonts w:eastAsiaTheme="minorEastAsia"/>
      <w:kern w:val="0"/>
      <w14:ligatures w14:val="none"/>
    </w:rPr>
  </w:style>
  <w:style w:type="paragraph" w:styleId="Caption">
    <w:name w:val="caption"/>
    <w:basedOn w:val="Normal"/>
    <w:next w:val="Normal"/>
    <w:uiPriority w:val="35"/>
    <w:unhideWhenUsed/>
    <w:qFormat/>
    <w:rsid w:val="003121D5"/>
    <w:pPr>
      <w:spacing w:after="200" w:line="240" w:lineRule="auto"/>
    </w:pPr>
    <w:rPr>
      <w:i/>
      <w:iCs/>
      <w:color w:val="0E2841" w:themeColor="text2"/>
      <w:sz w:val="18"/>
      <w:szCs w:val="18"/>
    </w:rPr>
  </w:style>
  <w:style w:type="paragraph" w:customStyle="1" w:styleId="whitespace-pre-wrap">
    <w:name w:val="whitespace-pre-wrap"/>
    <w:basedOn w:val="Normal"/>
    <w:rsid w:val="00B73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B82C4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B82C48"/>
    <w:pPr>
      <w:spacing w:after="100"/>
      <w:ind w:left="220"/>
    </w:pPr>
  </w:style>
  <w:style w:type="paragraph" w:styleId="TOC3">
    <w:name w:val="toc 3"/>
    <w:basedOn w:val="Normal"/>
    <w:next w:val="Normal"/>
    <w:autoRedefine/>
    <w:uiPriority w:val="39"/>
    <w:unhideWhenUsed/>
    <w:rsid w:val="00B82C48"/>
    <w:pPr>
      <w:spacing w:after="100"/>
      <w:ind w:left="440"/>
    </w:pPr>
  </w:style>
  <w:style w:type="paragraph" w:styleId="TOC1">
    <w:name w:val="toc 1"/>
    <w:basedOn w:val="Normal"/>
    <w:next w:val="Normal"/>
    <w:autoRedefine/>
    <w:uiPriority w:val="39"/>
    <w:unhideWhenUsed/>
    <w:rsid w:val="00B82C48"/>
    <w:pPr>
      <w:spacing w:after="100"/>
    </w:pPr>
  </w:style>
  <w:style w:type="character" w:styleId="Hyperlink">
    <w:name w:val="Hyperlink"/>
    <w:basedOn w:val="DefaultParagraphFont"/>
    <w:uiPriority w:val="99"/>
    <w:unhideWhenUsed/>
    <w:rsid w:val="00B82C48"/>
    <w:rPr>
      <w:color w:val="467886" w:themeColor="hyperlink"/>
      <w:u w:val="single"/>
    </w:rPr>
  </w:style>
  <w:style w:type="paragraph" w:styleId="TOC5">
    <w:name w:val="toc 5"/>
    <w:basedOn w:val="Normal"/>
    <w:next w:val="Normal"/>
    <w:autoRedefine/>
    <w:uiPriority w:val="39"/>
    <w:unhideWhenUsed/>
    <w:rsid w:val="00B82C48"/>
    <w:pPr>
      <w:spacing w:after="100"/>
      <w:ind w:left="880"/>
    </w:pPr>
  </w:style>
  <w:style w:type="paragraph" w:styleId="TOC4">
    <w:name w:val="toc 4"/>
    <w:basedOn w:val="Normal"/>
    <w:next w:val="Normal"/>
    <w:autoRedefine/>
    <w:uiPriority w:val="39"/>
    <w:unhideWhenUsed/>
    <w:rsid w:val="00B82C48"/>
    <w:pPr>
      <w:spacing w:after="100"/>
      <w:ind w:left="660"/>
    </w:pPr>
  </w:style>
  <w:style w:type="character" w:styleId="UnresolvedMention">
    <w:name w:val="Unresolved Mention"/>
    <w:basedOn w:val="DefaultParagraphFont"/>
    <w:uiPriority w:val="99"/>
    <w:semiHidden/>
    <w:unhideWhenUsed/>
    <w:rsid w:val="00AA0AAC"/>
    <w:rPr>
      <w:color w:val="605E5C"/>
      <w:shd w:val="clear" w:color="auto" w:fill="E1DFDD"/>
    </w:rPr>
  </w:style>
  <w:style w:type="paragraph" w:styleId="Header">
    <w:name w:val="header"/>
    <w:basedOn w:val="Normal"/>
    <w:link w:val="HeaderChar"/>
    <w:uiPriority w:val="99"/>
    <w:unhideWhenUsed/>
    <w:rsid w:val="00E0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74"/>
  </w:style>
  <w:style w:type="paragraph" w:styleId="Footer">
    <w:name w:val="footer"/>
    <w:basedOn w:val="Normal"/>
    <w:link w:val="FooterChar"/>
    <w:uiPriority w:val="99"/>
    <w:unhideWhenUsed/>
    <w:rsid w:val="00E0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19077">
      <w:bodyDiv w:val="1"/>
      <w:marLeft w:val="0"/>
      <w:marRight w:val="0"/>
      <w:marTop w:val="0"/>
      <w:marBottom w:val="0"/>
      <w:divBdr>
        <w:top w:val="none" w:sz="0" w:space="0" w:color="auto"/>
        <w:left w:val="none" w:sz="0" w:space="0" w:color="auto"/>
        <w:bottom w:val="none" w:sz="0" w:space="0" w:color="auto"/>
        <w:right w:val="none" w:sz="0" w:space="0" w:color="auto"/>
      </w:divBdr>
    </w:div>
    <w:div w:id="34163175">
      <w:bodyDiv w:val="1"/>
      <w:marLeft w:val="0"/>
      <w:marRight w:val="0"/>
      <w:marTop w:val="0"/>
      <w:marBottom w:val="0"/>
      <w:divBdr>
        <w:top w:val="none" w:sz="0" w:space="0" w:color="auto"/>
        <w:left w:val="none" w:sz="0" w:space="0" w:color="auto"/>
        <w:bottom w:val="none" w:sz="0" w:space="0" w:color="auto"/>
        <w:right w:val="none" w:sz="0" w:space="0" w:color="auto"/>
      </w:divBdr>
    </w:div>
    <w:div w:id="40788153">
      <w:bodyDiv w:val="1"/>
      <w:marLeft w:val="0"/>
      <w:marRight w:val="0"/>
      <w:marTop w:val="0"/>
      <w:marBottom w:val="0"/>
      <w:divBdr>
        <w:top w:val="none" w:sz="0" w:space="0" w:color="auto"/>
        <w:left w:val="none" w:sz="0" w:space="0" w:color="auto"/>
        <w:bottom w:val="none" w:sz="0" w:space="0" w:color="auto"/>
        <w:right w:val="none" w:sz="0" w:space="0" w:color="auto"/>
      </w:divBdr>
    </w:div>
    <w:div w:id="45109139">
      <w:bodyDiv w:val="1"/>
      <w:marLeft w:val="0"/>
      <w:marRight w:val="0"/>
      <w:marTop w:val="0"/>
      <w:marBottom w:val="0"/>
      <w:divBdr>
        <w:top w:val="none" w:sz="0" w:space="0" w:color="auto"/>
        <w:left w:val="none" w:sz="0" w:space="0" w:color="auto"/>
        <w:bottom w:val="none" w:sz="0" w:space="0" w:color="auto"/>
        <w:right w:val="none" w:sz="0" w:space="0" w:color="auto"/>
      </w:divBdr>
    </w:div>
    <w:div w:id="45302683">
      <w:bodyDiv w:val="1"/>
      <w:marLeft w:val="0"/>
      <w:marRight w:val="0"/>
      <w:marTop w:val="0"/>
      <w:marBottom w:val="0"/>
      <w:divBdr>
        <w:top w:val="none" w:sz="0" w:space="0" w:color="auto"/>
        <w:left w:val="none" w:sz="0" w:space="0" w:color="auto"/>
        <w:bottom w:val="none" w:sz="0" w:space="0" w:color="auto"/>
        <w:right w:val="none" w:sz="0" w:space="0" w:color="auto"/>
      </w:divBdr>
    </w:div>
    <w:div w:id="50735929">
      <w:bodyDiv w:val="1"/>
      <w:marLeft w:val="0"/>
      <w:marRight w:val="0"/>
      <w:marTop w:val="0"/>
      <w:marBottom w:val="0"/>
      <w:divBdr>
        <w:top w:val="none" w:sz="0" w:space="0" w:color="auto"/>
        <w:left w:val="none" w:sz="0" w:space="0" w:color="auto"/>
        <w:bottom w:val="none" w:sz="0" w:space="0" w:color="auto"/>
        <w:right w:val="none" w:sz="0" w:space="0" w:color="auto"/>
      </w:divBdr>
    </w:div>
    <w:div w:id="52895925">
      <w:bodyDiv w:val="1"/>
      <w:marLeft w:val="0"/>
      <w:marRight w:val="0"/>
      <w:marTop w:val="0"/>
      <w:marBottom w:val="0"/>
      <w:divBdr>
        <w:top w:val="none" w:sz="0" w:space="0" w:color="auto"/>
        <w:left w:val="none" w:sz="0" w:space="0" w:color="auto"/>
        <w:bottom w:val="none" w:sz="0" w:space="0" w:color="auto"/>
        <w:right w:val="none" w:sz="0" w:space="0" w:color="auto"/>
      </w:divBdr>
    </w:div>
    <w:div w:id="57023681">
      <w:bodyDiv w:val="1"/>
      <w:marLeft w:val="0"/>
      <w:marRight w:val="0"/>
      <w:marTop w:val="0"/>
      <w:marBottom w:val="0"/>
      <w:divBdr>
        <w:top w:val="none" w:sz="0" w:space="0" w:color="auto"/>
        <w:left w:val="none" w:sz="0" w:space="0" w:color="auto"/>
        <w:bottom w:val="none" w:sz="0" w:space="0" w:color="auto"/>
        <w:right w:val="none" w:sz="0" w:space="0" w:color="auto"/>
      </w:divBdr>
    </w:div>
    <w:div w:id="62144644">
      <w:bodyDiv w:val="1"/>
      <w:marLeft w:val="0"/>
      <w:marRight w:val="0"/>
      <w:marTop w:val="0"/>
      <w:marBottom w:val="0"/>
      <w:divBdr>
        <w:top w:val="none" w:sz="0" w:space="0" w:color="auto"/>
        <w:left w:val="none" w:sz="0" w:space="0" w:color="auto"/>
        <w:bottom w:val="none" w:sz="0" w:space="0" w:color="auto"/>
        <w:right w:val="none" w:sz="0" w:space="0" w:color="auto"/>
      </w:divBdr>
    </w:div>
    <w:div w:id="64691033">
      <w:bodyDiv w:val="1"/>
      <w:marLeft w:val="0"/>
      <w:marRight w:val="0"/>
      <w:marTop w:val="0"/>
      <w:marBottom w:val="0"/>
      <w:divBdr>
        <w:top w:val="none" w:sz="0" w:space="0" w:color="auto"/>
        <w:left w:val="none" w:sz="0" w:space="0" w:color="auto"/>
        <w:bottom w:val="none" w:sz="0" w:space="0" w:color="auto"/>
        <w:right w:val="none" w:sz="0" w:space="0" w:color="auto"/>
      </w:divBdr>
    </w:div>
    <w:div w:id="72168553">
      <w:bodyDiv w:val="1"/>
      <w:marLeft w:val="0"/>
      <w:marRight w:val="0"/>
      <w:marTop w:val="0"/>
      <w:marBottom w:val="0"/>
      <w:divBdr>
        <w:top w:val="none" w:sz="0" w:space="0" w:color="auto"/>
        <w:left w:val="none" w:sz="0" w:space="0" w:color="auto"/>
        <w:bottom w:val="none" w:sz="0" w:space="0" w:color="auto"/>
        <w:right w:val="none" w:sz="0" w:space="0" w:color="auto"/>
      </w:divBdr>
    </w:div>
    <w:div w:id="131798790">
      <w:bodyDiv w:val="1"/>
      <w:marLeft w:val="0"/>
      <w:marRight w:val="0"/>
      <w:marTop w:val="0"/>
      <w:marBottom w:val="0"/>
      <w:divBdr>
        <w:top w:val="none" w:sz="0" w:space="0" w:color="auto"/>
        <w:left w:val="none" w:sz="0" w:space="0" w:color="auto"/>
        <w:bottom w:val="none" w:sz="0" w:space="0" w:color="auto"/>
        <w:right w:val="none" w:sz="0" w:space="0" w:color="auto"/>
      </w:divBdr>
    </w:div>
    <w:div w:id="151337978">
      <w:bodyDiv w:val="1"/>
      <w:marLeft w:val="0"/>
      <w:marRight w:val="0"/>
      <w:marTop w:val="0"/>
      <w:marBottom w:val="0"/>
      <w:divBdr>
        <w:top w:val="none" w:sz="0" w:space="0" w:color="auto"/>
        <w:left w:val="none" w:sz="0" w:space="0" w:color="auto"/>
        <w:bottom w:val="none" w:sz="0" w:space="0" w:color="auto"/>
        <w:right w:val="none" w:sz="0" w:space="0" w:color="auto"/>
      </w:divBdr>
    </w:div>
    <w:div w:id="197934084">
      <w:bodyDiv w:val="1"/>
      <w:marLeft w:val="0"/>
      <w:marRight w:val="0"/>
      <w:marTop w:val="0"/>
      <w:marBottom w:val="0"/>
      <w:divBdr>
        <w:top w:val="none" w:sz="0" w:space="0" w:color="auto"/>
        <w:left w:val="none" w:sz="0" w:space="0" w:color="auto"/>
        <w:bottom w:val="none" w:sz="0" w:space="0" w:color="auto"/>
        <w:right w:val="none" w:sz="0" w:space="0" w:color="auto"/>
      </w:divBdr>
      <w:divsChild>
        <w:div w:id="1803035234">
          <w:marLeft w:val="0"/>
          <w:marRight w:val="0"/>
          <w:marTop w:val="0"/>
          <w:marBottom w:val="0"/>
          <w:divBdr>
            <w:top w:val="single" w:sz="2" w:space="0" w:color="auto"/>
            <w:left w:val="single" w:sz="2" w:space="0" w:color="auto"/>
            <w:bottom w:val="single" w:sz="2" w:space="0" w:color="auto"/>
            <w:right w:val="single" w:sz="2" w:space="0" w:color="auto"/>
          </w:divBdr>
          <w:divsChild>
            <w:div w:id="2084718146">
              <w:marLeft w:val="0"/>
              <w:marRight w:val="0"/>
              <w:marTop w:val="0"/>
              <w:marBottom w:val="0"/>
              <w:divBdr>
                <w:top w:val="single" w:sz="2" w:space="0" w:color="auto"/>
                <w:left w:val="single" w:sz="2" w:space="0" w:color="auto"/>
                <w:bottom w:val="single" w:sz="2" w:space="0" w:color="auto"/>
                <w:right w:val="single" w:sz="2" w:space="0" w:color="auto"/>
              </w:divBdr>
              <w:divsChild>
                <w:div w:id="1136876483">
                  <w:marLeft w:val="15"/>
                  <w:marRight w:val="0"/>
                  <w:marTop w:val="0"/>
                  <w:marBottom w:val="0"/>
                  <w:divBdr>
                    <w:top w:val="single" w:sz="2" w:space="0" w:color="auto"/>
                    <w:left w:val="single" w:sz="2" w:space="0" w:color="auto"/>
                    <w:bottom w:val="single" w:sz="2" w:space="0" w:color="auto"/>
                    <w:right w:val="single" w:sz="2" w:space="0" w:color="auto"/>
                  </w:divBdr>
                  <w:divsChild>
                    <w:div w:id="1402754996">
                      <w:marLeft w:val="0"/>
                      <w:marRight w:val="0"/>
                      <w:marTop w:val="0"/>
                      <w:marBottom w:val="0"/>
                      <w:divBdr>
                        <w:top w:val="single" w:sz="2" w:space="0" w:color="auto"/>
                        <w:left w:val="single" w:sz="2" w:space="0" w:color="auto"/>
                        <w:bottom w:val="single" w:sz="2" w:space="0" w:color="auto"/>
                        <w:right w:val="single" w:sz="2" w:space="0" w:color="auto"/>
                      </w:divBdr>
                      <w:divsChild>
                        <w:div w:id="142158668">
                          <w:marLeft w:val="0"/>
                          <w:marRight w:val="0"/>
                          <w:marTop w:val="0"/>
                          <w:marBottom w:val="0"/>
                          <w:divBdr>
                            <w:top w:val="single" w:sz="2" w:space="0" w:color="auto"/>
                            <w:left w:val="single" w:sz="2" w:space="0" w:color="auto"/>
                            <w:bottom w:val="single" w:sz="2" w:space="0" w:color="auto"/>
                            <w:right w:val="single" w:sz="2" w:space="0" w:color="auto"/>
                          </w:divBdr>
                          <w:divsChild>
                            <w:div w:id="1049496947">
                              <w:marLeft w:val="0"/>
                              <w:marRight w:val="0"/>
                              <w:marTop w:val="0"/>
                              <w:marBottom w:val="0"/>
                              <w:divBdr>
                                <w:top w:val="single" w:sz="2" w:space="0" w:color="auto"/>
                                <w:left w:val="single" w:sz="2" w:space="0" w:color="auto"/>
                                <w:bottom w:val="single" w:sz="2" w:space="0" w:color="auto"/>
                                <w:right w:val="single" w:sz="2" w:space="0" w:color="auto"/>
                              </w:divBdr>
                            </w:div>
                          </w:divsChild>
                        </w:div>
                        <w:div w:id="500238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5505842">
          <w:marLeft w:val="0"/>
          <w:marRight w:val="0"/>
          <w:marTop w:val="0"/>
          <w:marBottom w:val="0"/>
          <w:divBdr>
            <w:top w:val="single" w:sz="2" w:space="0" w:color="auto"/>
            <w:left w:val="single" w:sz="2" w:space="0" w:color="auto"/>
            <w:bottom w:val="single" w:sz="2" w:space="0" w:color="auto"/>
            <w:right w:val="single" w:sz="2" w:space="0" w:color="auto"/>
          </w:divBdr>
          <w:divsChild>
            <w:div w:id="101725333">
              <w:marLeft w:val="0"/>
              <w:marRight w:val="0"/>
              <w:marTop w:val="0"/>
              <w:marBottom w:val="0"/>
              <w:divBdr>
                <w:top w:val="single" w:sz="2" w:space="0" w:color="auto"/>
                <w:left w:val="single" w:sz="2" w:space="0" w:color="auto"/>
                <w:bottom w:val="single" w:sz="2" w:space="0" w:color="auto"/>
                <w:right w:val="single" w:sz="2" w:space="0" w:color="auto"/>
              </w:divBdr>
              <w:divsChild>
                <w:div w:id="436288496">
                  <w:marLeft w:val="0"/>
                  <w:marRight w:val="0"/>
                  <w:marTop w:val="0"/>
                  <w:marBottom w:val="0"/>
                  <w:divBdr>
                    <w:top w:val="single" w:sz="2" w:space="0" w:color="auto"/>
                    <w:left w:val="single" w:sz="2" w:space="0" w:color="auto"/>
                    <w:bottom w:val="single" w:sz="2" w:space="0" w:color="auto"/>
                    <w:right w:val="single" w:sz="2" w:space="0" w:color="auto"/>
                  </w:divBdr>
                  <w:divsChild>
                    <w:div w:id="1586190079">
                      <w:marLeft w:val="0"/>
                      <w:marRight w:val="0"/>
                      <w:marTop w:val="0"/>
                      <w:marBottom w:val="0"/>
                      <w:divBdr>
                        <w:top w:val="single" w:sz="2" w:space="0" w:color="auto"/>
                        <w:left w:val="single" w:sz="2" w:space="0" w:color="auto"/>
                        <w:bottom w:val="single" w:sz="2" w:space="0" w:color="auto"/>
                        <w:right w:val="single" w:sz="2" w:space="0" w:color="auto"/>
                      </w:divBdr>
                      <w:divsChild>
                        <w:div w:id="1334380463">
                          <w:marLeft w:val="0"/>
                          <w:marRight w:val="0"/>
                          <w:marTop w:val="0"/>
                          <w:marBottom w:val="0"/>
                          <w:divBdr>
                            <w:top w:val="single" w:sz="2" w:space="0" w:color="auto"/>
                            <w:left w:val="single" w:sz="2" w:space="0" w:color="auto"/>
                            <w:bottom w:val="single" w:sz="2" w:space="0" w:color="auto"/>
                            <w:right w:val="single" w:sz="2" w:space="0" w:color="auto"/>
                          </w:divBdr>
                          <w:divsChild>
                            <w:div w:id="307439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5020127">
      <w:bodyDiv w:val="1"/>
      <w:marLeft w:val="0"/>
      <w:marRight w:val="0"/>
      <w:marTop w:val="0"/>
      <w:marBottom w:val="0"/>
      <w:divBdr>
        <w:top w:val="none" w:sz="0" w:space="0" w:color="auto"/>
        <w:left w:val="none" w:sz="0" w:space="0" w:color="auto"/>
        <w:bottom w:val="none" w:sz="0" w:space="0" w:color="auto"/>
        <w:right w:val="none" w:sz="0" w:space="0" w:color="auto"/>
      </w:divBdr>
    </w:div>
    <w:div w:id="241262713">
      <w:bodyDiv w:val="1"/>
      <w:marLeft w:val="0"/>
      <w:marRight w:val="0"/>
      <w:marTop w:val="0"/>
      <w:marBottom w:val="0"/>
      <w:divBdr>
        <w:top w:val="none" w:sz="0" w:space="0" w:color="auto"/>
        <w:left w:val="none" w:sz="0" w:space="0" w:color="auto"/>
        <w:bottom w:val="none" w:sz="0" w:space="0" w:color="auto"/>
        <w:right w:val="none" w:sz="0" w:space="0" w:color="auto"/>
      </w:divBdr>
    </w:div>
    <w:div w:id="256404435">
      <w:bodyDiv w:val="1"/>
      <w:marLeft w:val="0"/>
      <w:marRight w:val="0"/>
      <w:marTop w:val="0"/>
      <w:marBottom w:val="0"/>
      <w:divBdr>
        <w:top w:val="none" w:sz="0" w:space="0" w:color="auto"/>
        <w:left w:val="none" w:sz="0" w:space="0" w:color="auto"/>
        <w:bottom w:val="none" w:sz="0" w:space="0" w:color="auto"/>
        <w:right w:val="none" w:sz="0" w:space="0" w:color="auto"/>
      </w:divBdr>
    </w:div>
    <w:div w:id="293558687">
      <w:bodyDiv w:val="1"/>
      <w:marLeft w:val="0"/>
      <w:marRight w:val="0"/>
      <w:marTop w:val="0"/>
      <w:marBottom w:val="0"/>
      <w:divBdr>
        <w:top w:val="none" w:sz="0" w:space="0" w:color="auto"/>
        <w:left w:val="none" w:sz="0" w:space="0" w:color="auto"/>
        <w:bottom w:val="none" w:sz="0" w:space="0" w:color="auto"/>
        <w:right w:val="none" w:sz="0" w:space="0" w:color="auto"/>
      </w:divBdr>
    </w:div>
    <w:div w:id="300155574">
      <w:bodyDiv w:val="1"/>
      <w:marLeft w:val="0"/>
      <w:marRight w:val="0"/>
      <w:marTop w:val="0"/>
      <w:marBottom w:val="0"/>
      <w:divBdr>
        <w:top w:val="none" w:sz="0" w:space="0" w:color="auto"/>
        <w:left w:val="none" w:sz="0" w:space="0" w:color="auto"/>
        <w:bottom w:val="none" w:sz="0" w:space="0" w:color="auto"/>
        <w:right w:val="none" w:sz="0" w:space="0" w:color="auto"/>
      </w:divBdr>
    </w:div>
    <w:div w:id="357700506">
      <w:bodyDiv w:val="1"/>
      <w:marLeft w:val="0"/>
      <w:marRight w:val="0"/>
      <w:marTop w:val="0"/>
      <w:marBottom w:val="0"/>
      <w:divBdr>
        <w:top w:val="none" w:sz="0" w:space="0" w:color="auto"/>
        <w:left w:val="none" w:sz="0" w:space="0" w:color="auto"/>
        <w:bottom w:val="none" w:sz="0" w:space="0" w:color="auto"/>
        <w:right w:val="none" w:sz="0" w:space="0" w:color="auto"/>
      </w:divBdr>
    </w:div>
    <w:div w:id="368839954">
      <w:bodyDiv w:val="1"/>
      <w:marLeft w:val="0"/>
      <w:marRight w:val="0"/>
      <w:marTop w:val="0"/>
      <w:marBottom w:val="0"/>
      <w:divBdr>
        <w:top w:val="none" w:sz="0" w:space="0" w:color="auto"/>
        <w:left w:val="none" w:sz="0" w:space="0" w:color="auto"/>
        <w:bottom w:val="none" w:sz="0" w:space="0" w:color="auto"/>
        <w:right w:val="none" w:sz="0" w:space="0" w:color="auto"/>
      </w:divBdr>
    </w:div>
    <w:div w:id="425271622">
      <w:bodyDiv w:val="1"/>
      <w:marLeft w:val="0"/>
      <w:marRight w:val="0"/>
      <w:marTop w:val="0"/>
      <w:marBottom w:val="0"/>
      <w:divBdr>
        <w:top w:val="none" w:sz="0" w:space="0" w:color="auto"/>
        <w:left w:val="none" w:sz="0" w:space="0" w:color="auto"/>
        <w:bottom w:val="none" w:sz="0" w:space="0" w:color="auto"/>
        <w:right w:val="none" w:sz="0" w:space="0" w:color="auto"/>
      </w:divBdr>
    </w:div>
    <w:div w:id="545724972">
      <w:bodyDiv w:val="1"/>
      <w:marLeft w:val="0"/>
      <w:marRight w:val="0"/>
      <w:marTop w:val="0"/>
      <w:marBottom w:val="0"/>
      <w:divBdr>
        <w:top w:val="none" w:sz="0" w:space="0" w:color="auto"/>
        <w:left w:val="none" w:sz="0" w:space="0" w:color="auto"/>
        <w:bottom w:val="none" w:sz="0" w:space="0" w:color="auto"/>
        <w:right w:val="none" w:sz="0" w:space="0" w:color="auto"/>
      </w:divBdr>
    </w:div>
    <w:div w:id="553276276">
      <w:bodyDiv w:val="1"/>
      <w:marLeft w:val="0"/>
      <w:marRight w:val="0"/>
      <w:marTop w:val="0"/>
      <w:marBottom w:val="0"/>
      <w:divBdr>
        <w:top w:val="none" w:sz="0" w:space="0" w:color="auto"/>
        <w:left w:val="none" w:sz="0" w:space="0" w:color="auto"/>
        <w:bottom w:val="none" w:sz="0" w:space="0" w:color="auto"/>
        <w:right w:val="none" w:sz="0" w:space="0" w:color="auto"/>
      </w:divBdr>
    </w:div>
    <w:div w:id="588392327">
      <w:bodyDiv w:val="1"/>
      <w:marLeft w:val="0"/>
      <w:marRight w:val="0"/>
      <w:marTop w:val="0"/>
      <w:marBottom w:val="0"/>
      <w:divBdr>
        <w:top w:val="none" w:sz="0" w:space="0" w:color="auto"/>
        <w:left w:val="none" w:sz="0" w:space="0" w:color="auto"/>
        <w:bottom w:val="none" w:sz="0" w:space="0" w:color="auto"/>
        <w:right w:val="none" w:sz="0" w:space="0" w:color="auto"/>
      </w:divBdr>
    </w:div>
    <w:div w:id="612177284">
      <w:bodyDiv w:val="1"/>
      <w:marLeft w:val="0"/>
      <w:marRight w:val="0"/>
      <w:marTop w:val="0"/>
      <w:marBottom w:val="0"/>
      <w:divBdr>
        <w:top w:val="none" w:sz="0" w:space="0" w:color="auto"/>
        <w:left w:val="none" w:sz="0" w:space="0" w:color="auto"/>
        <w:bottom w:val="none" w:sz="0" w:space="0" w:color="auto"/>
        <w:right w:val="none" w:sz="0" w:space="0" w:color="auto"/>
      </w:divBdr>
    </w:div>
    <w:div w:id="631129786">
      <w:bodyDiv w:val="1"/>
      <w:marLeft w:val="0"/>
      <w:marRight w:val="0"/>
      <w:marTop w:val="0"/>
      <w:marBottom w:val="0"/>
      <w:divBdr>
        <w:top w:val="none" w:sz="0" w:space="0" w:color="auto"/>
        <w:left w:val="none" w:sz="0" w:space="0" w:color="auto"/>
        <w:bottom w:val="none" w:sz="0" w:space="0" w:color="auto"/>
        <w:right w:val="none" w:sz="0" w:space="0" w:color="auto"/>
      </w:divBdr>
    </w:div>
    <w:div w:id="658079054">
      <w:bodyDiv w:val="1"/>
      <w:marLeft w:val="0"/>
      <w:marRight w:val="0"/>
      <w:marTop w:val="0"/>
      <w:marBottom w:val="0"/>
      <w:divBdr>
        <w:top w:val="none" w:sz="0" w:space="0" w:color="auto"/>
        <w:left w:val="none" w:sz="0" w:space="0" w:color="auto"/>
        <w:bottom w:val="none" w:sz="0" w:space="0" w:color="auto"/>
        <w:right w:val="none" w:sz="0" w:space="0" w:color="auto"/>
      </w:divBdr>
    </w:div>
    <w:div w:id="663901740">
      <w:bodyDiv w:val="1"/>
      <w:marLeft w:val="0"/>
      <w:marRight w:val="0"/>
      <w:marTop w:val="0"/>
      <w:marBottom w:val="0"/>
      <w:divBdr>
        <w:top w:val="none" w:sz="0" w:space="0" w:color="auto"/>
        <w:left w:val="none" w:sz="0" w:space="0" w:color="auto"/>
        <w:bottom w:val="none" w:sz="0" w:space="0" w:color="auto"/>
        <w:right w:val="none" w:sz="0" w:space="0" w:color="auto"/>
      </w:divBdr>
    </w:div>
    <w:div w:id="718166881">
      <w:bodyDiv w:val="1"/>
      <w:marLeft w:val="0"/>
      <w:marRight w:val="0"/>
      <w:marTop w:val="0"/>
      <w:marBottom w:val="0"/>
      <w:divBdr>
        <w:top w:val="none" w:sz="0" w:space="0" w:color="auto"/>
        <w:left w:val="none" w:sz="0" w:space="0" w:color="auto"/>
        <w:bottom w:val="none" w:sz="0" w:space="0" w:color="auto"/>
        <w:right w:val="none" w:sz="0" w:space="0" w:color="auto"/>
      </w:divBdr>
    </w:div>
    <w:div w:id="719743579">
      <w:bodyDiv w:val="1"/>
      <w:marLeft w:val="0"/>
      <w:marRight w:val="0"/>
      <w:marTop w:val="0"/>
      <w:marBottom w:val="0"/>
      <w:divBdr>
        <w:top w:val="none" w:sz="0" w:space="0" w:color="auto"/>
        <w:left w:val="none" w:sz="0" w:space="0" w:color="auto"/>
        <w:bottom w:val="none" w:sz="0" w:space="0" w:color="auto"/>
        <w:right w:val="none" w:sz="0" w:space="0" w:color="auto"/>
      </w:divBdr>
    </w:div>
    <w:div w:id="751008410">
      <w:bodyDiv w:val="1"/>
      <w:marLeft w:val="0"/>
      <w:marRight w:val="0"/>
      <w:marTop w:val="0"/>
      <w:marBottom w:val="0"/>
      <w:divBdr>
        <w:top w:val="none" w:sz="0" w:space="0" w:color="auto"/>
        <w:left w:val="none" w:sz="0" w:space="0" w:color="auto"/>
        <w:bottom w:val="none" w:sz="0" w:space="0" w:color="auto"/>
        <w:right w:val="none" w:sz="0" w:space="0" w:color="auto"/>
      </w:divBdr>
      <w:divsChild>
        <w:div w:id="577712969">
          <w:marLeft w:val="0"/>
          <w:marRight w:val="0"/>
          <w:marTop w:val="0"/>
          <w:marBottom w:val="0"/>
          <w:divBdr>
            <w:top w:val="single" w:sz="2" w:space="0" w:color="auto"/>
            <w:left w:val="single" w:sz="2" w:space="0" w:color="auto"/>
            <w:bottom w:val="single" w:sz="2" w:space="0" w:color="auto"/>
            <w:right w:val="single" w:sz="2" w:space="0" w:color="auto"/>
          </w:divBdr>
          <w:divsChild>
            <w:div w:id="1400861031">
              <w:marLeft w:val="0"/>
              <w:marRight w:val="0"/>
              <w:marTop w:val="0"/>
              <w:marBottom w:val="0"/>
              <w:divBdr>
                <w:top w:val="single" w:sz="2" w:space="0" w:color="auto"/>
                <w:left w:val="single" w:sz="2" w:space="0" w:color="auto"/>
                <w:bottom w:val="single" w:sz="2" w:space="0" w:color="auto"/>
                <w:right w:val="single" w:sz="2" w:space="0" w:color="auto"/>
              </w:divBdr>
              <w:divsChild>
                <w:div w:id="180507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7898273">
          <w:marLeft w:val="0"/>
          <w:marRight w:val="0"/>
          <w:marTop w:val="0"/>
          <w:marBottom w:val="0"/>
          <w:divBdr>
            <w:top w:val="single" w:sz="2" w:space="0" w:color="auto"/>
            <w:left w:val="single" w:sz="2" w:space="0" w:color="auto"/>
            <w:bottom w:val="single" w:sz="2" w:space="0" w:color="auto"/>
            <w:right w:val="single" w:sz="2" w:space="0" w:color="auto"/>
          </w:divBdr>
          <w:divsChild>
            <w:div w:id="719670728">
              <w:marLeft w:val="0"/>
              <w:marRight w:val="0"/>
              <w:marTop w:val="0"/>
              <w:marBottom w:val="0"/>
              <w:divBdr>
                <w:top w:val="single" w:sz="2" w:space="0" w:color="auto"/>
                <w:left w:val="single" w:sz="2" w:space="0" w:color="auto"/>
                <w:bottom w:val="single" w:sz="2" w:space="0" w:color="auto"/>
                <w:right w:val="single" w:sz="2" w:space="0" w:color="auto"/>
              </w:divBdr>
              <w:divsChild>
                <w:div w:id="2012752433">
                  <w:marLeft w:val="0"/>
                  <w:marRight w:val="0"/>
                  <w:marTop w:val="0"/>
                  <w:marBottom w:val="0"/>
                  <w:divBdr>
                    <w:top w:val="single" w:sz="2" w:space="0" w:color="auto"/>
                    <w:left w:val="single" w:sz="2" w:space="0" w:color="auto"/>
                    <w:bottom w:val="single" w:sz="2" w:space="0" w:color="auto"/>
                    <w:right w:val="single" w:sz="2" w:space="0" w:color="auto"/>
                  </w:divBdr>
                  <w:divsChild>
                    <w:div w:id="212985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6503484">
      <w:bodyDiv w:val="1"/>
      <w:marLeft w:val="0"/>
      <w:marRight w:val="0"/>
      <w:marTop w:val="0"/>
      <w:marBottom w:val="0"/>
      <w:divBdr>
        <w:top w:val="none" w:sz="0" w:space="0" w:color="auto"/>
        <w:left w:val="none" w:sz="0" w:space="0" w:color="auto"/>
        <w:bottom w:val="none" w:sz="0" w:space="0" w:color="auto"/>
        <w:right w:val="none" w:sz="0" w:space="0" w:color="auto"/>
      </w:divBdr>
      <w:divsChild>
        <w:div w:id="36707334">
          <w:marLeft w:val="0"/>
          <w:marRight w:val="0"/>
          <w:marTop w:val="0"/>
          <w:marBottom w:val="0"/>
          <w:divBdr>
            <w:top w:val="none" w:sz="0" w:space="0" w:color="auto"/>
            <w:left w:val="none" w:sz="0" w:space="0" w:color="auto"/>
            <w:bottom w:val="none" w:sz="0" w:space="0" w:color="auto"/>
            <w:right w:val="none" w:sz="0" w:space="0" w:color="auto"/>
          </w:divBdr>
          <w:divsChild>
            <w:div w:id="417601708">
              <w:marLeft w:val="0"/>
              <w:marRight w:val="0"/>
              <w:marTop w:val="0"/>
              <w:marBottom w:val="0"/>
              <w:divBdr>
                <w:top w:val="none" w:sz="0" w:space="0" w:color="auto"/>
                <w:left w:val="none" w:sz="0" w:space="0" w:color="auto"/>
                <w:bottom w:val="none" w:sz="0" w:space="0" w:color="auto"/>
                <w:right w:val="none" w:sz="0" w:space="0" w:color="auto"/>
              </w:divBdr>
              <w:divsChild>
                <w:div w:id="761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317">
      <w:bodyDiv w:val="1"/>
      <w:marLeft w:val="0"/>
      <w:marRight w:val="0"/>
      <w:marTop w:val="0"/>
      <w:marBottom w:val="0"/>
      <w:divBdr>
        <w:top w:val="none" w:sz="0" w:space="0" w:color="auto"/>
        <w:left w:val="none" w:sz="0" w:space="0" w:color="auto"/>
        <w:bottom w:val="none" w:sz="0" w:space="0" w:color="auto"/>
        <w:right w:val="none" w:sz="0" w:space="0" w:color="auto"/>
      </w:divBdr>
    </w:div>
    <w:div w:id="790128124">
      <w:bodyDiv w:val="1"/>
      <w:marLeft w:val="0"/>
      <w:marRight w:val="0"/>
      <w:marTop w:val="0"/>
      <w:marBottom w:val="0"/>
      <w:divBdr>
        <w:top w:val="none" w:sz="0" w:space="0" w:color="auto"/>
        <w:left w:val="none" w:sz="0" w:space="0" w:color="auto"/>
        <w:bottom w:val="none" w:sz="0" w:space="0" w:color="auto"/>
        <w:right w:val="none" w:sz="0" w:space="0" w:color="auto"/>
      </w:divBdr>
    </w:div>
    <w:div w:id="884609947">
      <w:bodyDiv w:val="1"/>
      <w:marLeft w:val="0"/>
      <w:marRight w:val="0"/>
      <w:marTop w:val="0"/>
      <w:marBottom w:val="0"/>
      <w:divBdr>
        <w:top w:val="none" w:sz="0" w:space="0" w:color="auto"/>
        <w:left w:val="none" w:sz="0" w:space="0" w:color="auto"/>
        <w:bottom w:val="none" w:sz="0" w:space="0" w:color="auto"/>
        <w:right w:val="none" w:sz="0" w:space="0" w:color="auto"/>
      </w:divBdr>
    </w:div>
    <w:div w:id="898322285">
      <w:bodyDiv w:val="1"/>
      <w:marLeft w:val="0"/>
      <w:marRight w:val="0"/>
      <w:marTop w:val="0"/>
      <w:marBottom w:val="0"/>
      <w:divBdr>
        <w:top w:val="none" w:sz="0" w:space="0" w:color="auto"/>
        <w:left w:val="none" w:sz="0" w:space="0" w:color="auto"/>
        <w:bottom w:val="none" w:sz="0" w:space="0" w:color="auto"/>
        <w:right w:val="none" w:sz="0" w:space="0" w:color="auto"/>
      </w:divBdr>
    </w:div>
    <w:div w:id="900407092">
      <w:bodyDiv w:val="1"/>
      <w:marLeft w:val="0"/>
      <w:marRight w:val="0"/>
      <w:marTop w:val="0"/>
      <w:marBottom w:val="0"/>
      <w:divBdr>
        <w:top w:val="none" w:sz="0" w:space="0" w:color="auto"/>
        <w:left w:val="none" w:sz="0" w:space="0" w:color="auto"/>
        <w:bottom w:val="none" w:sz="0" w:space="0" w:color="auto"/>
        <w:right w:val="none" w:sz="0" w:space="0" w:color="auto"/>
      </w:divBdr>
    </w:div>
    <w:div w:id="906764823">
      <w:bodyDiv w:val="1"/>
      <w:marLeft w:val="0"/>
      <w:marRight w:val="0"/>
      <w:marTop w:val="0"/>
      <w:marBottom w:val="0"/>
      <w:divBdr>
        <w:top w:val="none" w:sz="0" w:space="0" w:color="auto"/>
        <w:left w:val="none" w:sz="0" w:space="0" w:color="auto"/>
        <w:bottom w:val="none" w:sz="0" w:space="0" w:color="auto"/>
        <w:right w:val="none" w:sz="0" w:space="0" w:color="auto"/>
      </w:divBdr>
    </w:div>
    <w:div w:id="908610791">
      <w:bodyDiv w:val="1"/>
      <w:marLeft w:val="0"/>
      <w:marRight w:val="0"/>
      <w:marTop w:val="0"/>
      <w:marBottom w:val="0"/>
      <w:divBdr>
        <w:top w:val="none" w:sz="0" w:space="0" w:color="auto"/>
        <w:left w:val="none" w:sz="0" w:space="0" w:color="auto"/>
        <w:bottom w:val="none" w:sz="0" w:space="0" w:color="auto"/>
        <w:right w:val="none" w:sz="0" w:space="0" w:color="auto"/>
      </w:divBdr>
    </w:div>
    <w:div w:id="919102025">
      <w:bodyDiv w:val="1"/>
      <w:marLeft w:val="0"/>
      <w:marRight w:val="0"/>
      <w:marTop w:val="0"/>
      <w:marBottom w:val="0"/>
      <w:divBdr>
        <w:top w:val="none" w:sz="0" w:space="0" w:color="auto"/>
        <w:left w:val="none" w:sz="0" w:space="0" w:color="auto"/>
        <w:bottom w:val="none" w:sz="0" w:space="0" w:color="auto"/>
        <w:right w:val="none" w:sz="0" w:space="0" w:color="auto"/>
      </w:divBdr>
    </w:div>
    <w:div w:id="937371567">
      <w:bodyDiv w:val="1"/>
      <w:marLeft w:val="0"/>
      <w:marRight w:val="0"/>
      <w:marTop w:val="0"/>
      <w:marBottom w:val="0"/>
      <w:divBdr>
        <w:top w:val="none" w:sz="0" w:space="0" w:color="auto"/>
        <w:left w:val="none" w:sz="0" w:space="0" w:color="auto"/>
        <w:bottom w:val="none" w:sz="0" w:space="0" w:color="auto"/>
        <w:right w:val="none" w:sz="0" w:space="0" w:color="auto"/>
      </w:divBdr>
    </w:div>
    <w:div w:id="956987683">
      <w:bodyDiv w:val="1"/>
      <w:marLeft w:val="0"/>
      <w:marRight w:val="0"/>
      <w:marTop w:val="0"/>
      <w:marBottom w:val="0"/>
      <w:divBdr>
        <w:top w:val="none" w:sz="0" w:space="0" w:color="auto"/>
        <w:left w:val="none" w:sz="0" w:space="0" w:color="auto"/>
        <w:bottom w:val="none" w:sz="0" w:space="0" w:color="auto"/>
        <w:right w:val="none" w:sz="0" w:space="0" w:color="auto"/>
      </w:divBdr>
    </w:div>
    <w:div w:id="978847937">
      <w:bodyDiv w:val="1"/>
      <w:marLeft w:val="0"/>
      <w:marRight w:val="0"/>
      <w:marTop w:val="0"/>
      <w:marBottom w:val="0"/>
      <w:divBdr>
        <w:top w:val="none" w:sz="0" w:space="0" w:color="auto"/>
        <w:left w:val="none" w:sz="0" w:space="0" w:color="auto"/>
        <w:bottom w:val="none" w:sz="0" w:space="0" w:color="auto"/>
        <w:right w:val="none" w:sz="0" w:space="0" w:color="auto"/>
      </w:divBdr>
    </w:div>
    <w:div w:id="979309232">
      <w:bodyDiv w:val="1"/>
      <w:marLeft w:val="0"/>
      <w:marRight w:val="0"/>
      <w:marTop w:val="0"/>
      <w:marBottom w:val="0"/>
      <w:divBdr>
        <w:top w:val="none" w:sz="0" w:space="0" w:color="auto"/>
        <w:left w:val="none" w:sz="0" w:space="0" w:color="auto"/>
        <w:bottom w:val="none" w:sz="0" w:space="0" w:color="auto"/>
        <w:right w:val="none" w:sz="0" w:space="0" w:color="auto"/>
      </w:divBdr>
    </w:div>
    <w:div w:id="982852234">
      <w:bodyDiv w:val="1"/>
      <w:marLeft w:val="0"/>
      <w:marRight w:val="0"/>
      <w:marTop w:val="0"/>
      <w:marBottom w:val="0"/>
      <w:divBdr>
        <w:top w:val="none" w:sz="0" w:space="0" w:color="auto"/>
        <w:left w:val="none" w:sz="0" w:space="0" w:color="auto"/>
        <w:bottom w:val="none" w:sz="0" w:space="0" w:color="auto"/>
        <w:right w:val="none" w:sz="0" w:space="0" w:color="auto"/>
      </w:divBdr>
    </w:div>
    <w:div w:id="997271790">
      <w:bodyDiv w:val="1"/>
      <w:marLeft w:val="0"/>
      <w:marRight w:val="0"/>
      <w:marTop w:val="0"/>
      <w:marBottom w:val="0"/>
      <w:divBdr>
        <w:top w:val="none" w:sz="0" w:space="0" w:color="auto"/>
        <w:left w:val="none" w:sz="0" w:space="0" w:color="auto"/>
        <w:bottom w:val="none" w:sz="0" w:space="0" w:color="auto"/>
        <w:right w:val="none" w:sz="0" w:space="0" w:color="auto"/>
      </w:divBdr>
    </w:div>
    <w:div w:id="1001348316">
      <w:bodyDiv w:val="1"/>
      <w:marLeft w:val="0"/>
      <w:marRight w:val="0"/>
      <w:marTop w:val="0"/>
      <w:marBottom w:val="0"/>
      <w:divBdr>
        <w:top w:val="none" w:sz="0" w:space="0" w:color="auto"/>
        <w:left w:val="none" w:sz="0" w:space="0" w:color="auto"/>
        <w:bottom w:val="none" w:sz="0" w:space="0" w:color="auto"/>
        <w:right w:val="none" w:sz="0" w:space="0" w:color="auto"/>
      </w:divBdr>
    </w:div>
    <w:div w:id="1006253899">
      <w:bodyDiv w:val="1"/>
      <w:marLeft w:val="0"/>
      <w:marRight w:val="0"/>
      <w:marTop w:val="0"/>
      <w:marBottom w:val="0"/>
      <w:divBdr>
        <w:top w:val="none" w:sz="0" w:space="0" w:color="auto"/>
        <w:left w:val="none" w:sz="0" w:space="0" w:color="auto"/>
        <w:bottom w:val="none" w:sz="0" w:space="0" w:color="auto"/>
        <w:right w:val="none" w:sz="0" w:space="0" w:color="auto"/>
      </w:divBdr>
    </w:div>
    <w:div w:id="1038896800">
      <w:bodyDiv w:val="1"/>
      <w:marLeft w:val="0"/>
      <w:marRight w:val="0"/>
      <w:marTop w:val="0"/>
      <w:marBottom w:val="0"/>
      <w:divBdr>
        <w:top w:val="none" w:sz="0" w:space="0" w:color="auto"/>
        <w:left w:val="none" w:sz="0" w:space="0" w:color="auto"/>
        <w:bottom w:val="none" w:sz="0" w:space="0" w:color="auto"/>
        <w:right w:val="none" w:sz="0" w:space="0" w:color="auto"/>
      </w:divBdr>
    </w:div>
    <w:div w:id="1074668239">
      <w:bodyDiv w:val="1"/>
      <w:marLeft w:val="0"/>
      <w:marRight w:val="0"/>
      <w:marTop w:val="0"/>
      <w:marBottom w:val="0"/>
      <w:divBdr>
        <w:top w:val="none" w:sz="0" w:space="0" w:color="auto"/>
        <w:left w:val="none" w:sz="0" w:space="0" w:color="auto"/>
        <w:bottom w:val="none" w:sz="0" w:space="0" w:color="auto"/>
        <w:right w:val="none" w:sz="0" w:space="0" w:color="auto"/>
      </w:divBdr>
    </w:div>
    <w:div w:id="1077483344">
      <w:bodyDiv w:val="1"/>
      <w:marLeft w:val="0"/>
      <w:marRight w:val="0"/>
      <w:marTop w:val="0"/>
      <w:marBottom w:val="0"/>
      <w:divBdr>
        <w:top w:val="none" w:sz="0" w:space="0" w:color="auto"/>
        <w:left w:val="none" w:sz="0" w:space="0" w:color="auto"/>
        <w:bottom w:val="none" w:sz="0" w:space="0" w:color="auto"/>
        <w:right w:val="none" w:sz="0" w:space="0" w:color="auto"/>
      </w:divBdr>
    </w:div>
    <w:div w:id="1081562339">
      <w:bodyDiv w:val="1"/>
      <w:marLeft w:val="0"/>
      <w:marRight w:val="0"/>
      <w:marTop w:val="0"/>
      <w:marBottom w:val="0"/>
      <w:divBdr>
        <w:top w:val="none" w:sz="0" w:space="0" w:color="auto"/>
        <w:left w:val="none" w:sz="0" w:space="0" w:color="auto"/>
        <w:bottom w:val="none" w:sz="0" w:space="0" w:color="auto"/>
        <w:right w:val="none" w:sz="0" w:space="0" w:color="auto"/>
      </w:divBdr>
    </w:div>
    <w:div w:id="1085104020">
      <w:bodyDiv w:val="1"/>
      <w:marLeft w:val="0"/>
      <w:marRight w:val="0"/>
      <w:marTop w:val="0"/>
      <w:marBottom w:val="0"/>
      <w:divBdr>
        <w:top w:val="none" w:sz="0" w:space="0" w:color="auto"/>
        <w:left w:val="none" w:sz="0" w:space="0" w:color="auto"/>
        <w:bottom w:val="none" w:sz="0" w:space="0" w:color="auto"/>
        <w:right w:val="none" w:sz="0" w:space="0" w:color="auto"/>
      </w:divBdr>
    </w:div>
    <w:div w:id="1103067641">
      <w:bodyDiv w:val="1"/>
      <w:marLeft w:val="0"/>
      <w:marRight w:val="0"/>
      <w:marTop w:val="0"/>
      <w:marBottom w:val="0"/>
      <w:divBdr>
        <w:top w:val="none" w:sz="0" w:space="0" w:color="auto"/>
        <w:left w:val="none" w:sz="0" w:space="0" w:color="auto"/>
        <w:bottom w:val="none" w:sz="0" w:space="0" w:color="auto"/>
        <w:right w:val="none" w:sz="0" w:space="0" w:color="auto"/>
      </w:divBdr>
    </w:div>
    <w:div w:id="1123958705">
      <w:bodyDiv w:val="1"/>
      <w:marLeft w:val="0"/>
      <w:marRight w:val="0"/>
      <w:marTop w:val="0"/>
      <w:marBottom w:val="0"/>
      <w:divBdr>
        <w:top w:val="none" w:sz="0" w:space="0" w:color="auto"/>
        <w:left w:val="none" w:sz="0" w:space="0" w:color="auto"/>
        <w:bottom w:val="none" w:sz="0" w:space="0" w:color="auto"/>
        <w:right w:val="none" w:sz="0" w:space="0" w:color="auto"/>
      </w:divBdr>
    </w:div>
    <w:div w:id="1130629103">
      <w:bodyDiv w:val="1"/>
      <w:marLeft w:val="0"/>
      <w:marRight w:val="0"/>
      <w:marTop w:val="0"/>
      <w:marBottom w:val="0"/>
      <w:divBdr>
        <w:top w:val="none" w:sz="0" w:space="0" w:color="auto"/>
        <w:left w:val="none" w:sz="0" w:space="0" w:color="auto"/>
        <w:bottom w:val="none" w:sz="0" w:space="0" w:color="auto"/>
        <w:right w:val="none" w:sz="0" w:space="0" w:color="auto"/>
      </w:divBdr>
    </w:div>
    <w:div w:id="1168979491">
      <w:bodyDiv w:val="1"/>
      <w:marLeft w:val="0"/>
      <w:marRight w:val="0"/>
      <w:marTop w:val="0"/>
      <w:marBottom w:val="0"/>
      <w:divBdr>
        <w:top w:val="none" w:sz="0" w:space="0" w:color="auto"/>
        <w:left w:val="none" w:sz="0" w:space="0" w:color="auto"/>
        <w:bottom w:val="none" w:sz="0" w:space="0" w:color="auto"/>
        <w:right w:val="none" w:sz="0" w:space="0" w:color="auto"/>
      </w:divBdr>
    </w:div>
    <w:div w:id="1206604429">
      <w:bodyDiv w:val="1"/>
      <w:marLeft w:val="0"/>
      <w:marRight w:val="0"/>
      <w:marTop w:val="0"/>
      <w:marBottom w:val="0"/>
      <w:divBdr>
        <w:top w:val="none" w:sz="0" w:space="0" w:color="auto"/>
        <w:left w:val="none" w:sz="0" w:space="0" w:color="auto"/>
        <w:bottom w:val="none" w:sz="0" w:space="0" w:color="auto"/>
        <w:right w:val="none" w:sz="0" w:space="0" w:color="auto"/>
      </w:divBdr>
    </w:div>
    <w:div w:id="1232740567">
      <w:bodyDiv w:val="1"/>
      <w:marLeft w:val="0"/>
      <w:marRight w:val="0"/>
      <w:marTop w:val="0"/>
      <w:marBottom w:val="0"/>
      <w:divBdr>
        <w:top w:val="none" w:sz="0" w:space="0" w:color="auto"/>
        <w:left w:val="none" w:sz="0" w:space="0" w:color="auto"/>
        <w:bottom w:val="none" w:sz="0" w:space="0" w:color="auto"/>
        <w:right w:val="none" w:sz="0" w:space="0" w:color="auto"/>
      </w:divBdr>
    </w:div>
    <w:div w:id="1253052548">
      <w:bodyDiv w:val="1"/>
      <w:marLeft w:val="0"/>
      <w:marRight w:val="0"/>
      <w:marTop w:val="0"/>
      <w:marBottom w:val="0"/>
      <w:divBdr>
        <w:top w:val="none" w:sz="0" w:space="0" w:color="auto"/>
        <w:left w:val="none" w:sz="0" w:space="0" w:color="auto"/>
        <w:bottom w:val="none" w:sz="0" w:space="0" w:color="auto"/>
        <w:right w:val="none" w:sz="0" w:space="0" w:color="auto"/>
      </w:divBdr>
    </w:div>
    <w:div w:id="1283153467">
      <w:bodyDiv w:val="1"/>
      <w:marLeft w:val="0"/>
      <w:marRight w:val="0"/>
      <w:marTop w:val="0"/>
      <w:marBottom w:val="0"/>
      <w:divBdr>
        <w:top w:val="none" w:sz="0" w:space="0" w:color="auto"/>
        <w:left w:val="none" w:sz="0" w:space="0" w:color="auto"/>
        <w:bottom w:val="none" w:sz="0" w:space="0" w:color="auto"/>
        <w:right w:val="none" w:sz="0" w:space="0" w:color="auto"/>
      </w:divBdr>
    </w:div>
    <w:div w:id="1295259621">
      <w:bodyDiv w:val="1"/>
      <w:marLeft w:val="0"/>
      <w:marRight w:val="0"/>
      <w:marTop w:val="0"/>
      <w:marBottom w:val="0"/>
      <w:divBdr>
        <w:top w:val="none" w:sz="0" w:space="0" w:color="auto"/>
        <w:left w:val="none" w:sz="0" w:space="0" w:color="auto"/>
        <w:bottom w:val="none" w:sz="0" w:space="0" w:color="auto"/>
        <w:right w:val="none" w:sz="0" w:space="0" w:color="auto"/>
      </w:divBdr>
    </w:div>
    <w:div w:id="1308974795">
      <w:bodyDiv w:val="1"/>
      <w:marLeft w:val="0"/>
      <w:marRight w:val="0"/>
      <w:marTop w:val="0"/>
      <w:marBottom w:val="0"/>
      <w:divBdr>
        <w:top w:val="none" w:sz="0" w:space="0" w:color="auto"/>
        <w:left w:val="none" w:sz="0" w:space="0" w:color="auto"/>
        <w:bottom w:val="none" w:sz="0" w:space="0" w:color="auto"/>
        <w:right w:val="none" w:sz="0" w:space="0" w:color="auto"/>
      </w:divBdr>
    </w:div>
    <w:div w:id="1317295603">
      <w:bodyDiv w:val="1"/>
      <w:marLeft w:val="0"/>
      <w:marRight w:val="0"/>
      <w:marTop w:val="0"/>
      <w:marBottom w:val="0"/>
      <w:divBdr>
        <w:top w:val="none" w:sz="0" w:space="0" w:color="auto"/>
        <w:left w:val="none" w:sz="0" w:space="0" w:color="auto"/>
        <w:bottom w:val="none" w:sz="0" w:space="0" w:color="auto"/>
        <w:right w:val="none" w:sz="0" w:space="0" w:color="auto"/>
      </w:divBdr>
    </w:div>
    <w:div w:id="1319267443">
      <w:bodyDiv w:val="1"/>
      <w:marLeft w:val="0"/>
      <w:marRight w:val="0"/>
      <w:marTop w:val="0"/>
      <w:marBottom w:val="0"/>
      <w:divBdr>
        <w:top w:val="none" w:sz="0" w:space="0" w:color="auto"/>
        <w:left w:val="none" w:sz="0" w:space="0" w:color="auto"/>
        <w:bottom w:val="none" w:sz="0" w:space="0" w:color="auto"/>
        <w:right w:val="none" w:sz="0" w:space="0" w:color="auto"/>
      </w:divBdr>
    </w:div>
    <w:div w:id="1349912821">
      <w:bodyDiv w:val="1"/>
      <w:marLeft w:val="0"/>
      <w:marRight w:val="0"/>
      <w:marTop w:val="0"/>
      <w:marBottom w:val="0"/>
      <w:divBdr>
        <w:top w:val="none" w:sz="0" w:space="0" w:color="auto"/>
        <w:left w:val="none" w:sz="0" w:space="0" w:color="auto"/>
        <w:bottom w:val="none" w:sz="0" w:space="0" w:color="auto"/>
        <w:right w:val="none" w:sz="0" w:space="0" w:color="auto"/>
      </w:divBdr>
    </w:div>
    <w:div w:id="1363944614">
      <w:bodyDiv w:val="1"/>
      <w:marLeft w:val="0"/>
      <w:marRight w:val="0"/>
      <w:marTop w:val="0"/>
      <w:marBottom w:val="0"/>
      <w:divBdr>
        <w:top w:val="none" w:sz="0" w:space="0" w:color="auto"/>
        <w:left w:val="none" w:sz="0" w:space="0" w:color="auto"/>
        <w:bottom w:val="none" w:sz="0" w:space="0" w:color="auto"/>
        <w:right w:val="none" w:sz="0" w:space="0" w:color="auto"/>
      </w:divBdr>
      <w:divsChild>
        <w:div w:id="1637175213">
          <w:marLeft w:val="0"/>
          <w:marRight w:val="0"/>
          <w:marTop w:val="0"/>
          <w:marBottom w:val="0"/>
          <w:divBdr>
            <w:top w:val="single" w:sz="2" w:space="0" w:color="E4E6E8"/>
            <w:left w:val="single" w:sz="2" w:space="0" w:color="E4E6E8"/>
            <w:bottom w:val="single" w:sz="2" w:space="0" w:color="E4E6E8"/>
            <w:right w:val="single" w:sz="2" w:space="0" w:color="E4E6E8"/>
          </w:divBdr>
          <w:divsChild>
            <w:div w:id="3288695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18282859">
      <w:bodyDiv w:val="1"/>
      <w:marLeft w:val="0"/>
      <w:marRight w:val="0"/>
      <w:marTop w:val="0"/>
      <w:marBottom w:val="0"/>
      <w:divBdr>
        <w:top w:val="none" w:sz="0" w:space="0" w:color="auto"/>
        <w:left w:val="none" w:sz="0" w:space="0" w:color="auto"/>
        <w:bottom w:val="none" w:sz="0" w:space="0" w:color="auto"/>
        <w:right w:val="none" w:sz="0" w:space="0" w:color="auto"/>
      </w:divBdr>
    </w:div>
    <w:div w:id="1425690097">
      <w:bodyDiv w:val="1"/>
      <w:marLeft w:val="0"/>
      <w:marRight w:val="0"/>
      <w:marTop w:val="0"/>
      <w:marBottom w:val="0"/>
      <w:divBdr>
        <w:top w:val="none" w:sz="0" w:space="0" w:color="auto"/>
        <w:left w:val="none" w:sz="0" w:space="0" w:color="auto"/>
        <w:bottom w:val="none" w:sz="0" w:space="0" w:color="auto"/>
        <w:right w:val="none" w:sz="0" w:space="0" w:color="auto"/>
      </w:divBdr>
    </w:div>
    <w:div w:id="1475105368">
      <w:bodyDiv w:val="1"/>
      <w:marLeft w:val="0"/>
      <w:marRight w:val="0"/>
      <w:marTop w:val="0"/>
      <w:marBottom w:val="0"/>
      <w:divBdr>
        <w:top w:val="none" w:sz="0" w:space="0" w:color="auto"/>
        <w:left w:val="none" w:sz="0" w:space="0" w:color="auto"/>
        <w:bottom w:val="none" w:sz="0" w:space="0" w:color="auto"/>
        <w:right w:val="none" w:sz="0" w:space="0" w:color="auto"/>
      </w:divBdr>
    </w:div>
    <w:div w:id="1532186995">
      <w:bodyDiv w:val="1"/>
      <w:marLeft w:val="0"/>
      <w:marRight w:val="0"/>
      <w:marTop w:val="0"/>
      <w:marBottom w:val="0"/>
      <w:divBdr>
        <w:top w:val="none" w:sz="0" w:space="0" w:color="auto"/>
        <w:left w:val="none" w:sz="0" w:space="0" w:color="auto"/>
        <w:bottom w:val="none" w:sz="0" w:space="0" w:color="auto"/>
        <w:right w:val="none" w:sz="0" w:space="0" w:color="auto"/>
      </w:divBdr>
    </w:div>
    <w:div w:id="1548762100">
      <w:bodyDiv w:val="1"/>
      <w:marLeft w:val="0"/>
      <w:marRight w:val="0"/>
      <w:marTop w:val="0"/>
      <w:marBottom w:val="0"/>
      <w:divBdr>
        <w:top w:val="none" w:sz="0" w:space="0" w:color="auto"/>
        <w:left w:val="none" w:sz="0" w:space="0" w:color="auto"/>
        <w:bottom w:val="none" w:sz="0" w:space="0" w:color="auto"/>
        <w:right w:val="none" w:sz="0" w:space="0" w:color="auto"/>
      </w:divBdr>
    </w:div>
    <w:div w:id="1596012342">
      <w:bodyDiv w:val="1"/>
      <w:marLeft w:val="0"/>
      <w:marRight w:val="0"/>
      <w:marTop w:val="0"/>
      <w:marBottom w:val="0"/>
      <w:divBdr>
        <w:top w:val="none" w:sz="0" w:space="0" w:color="auto"/>
        <w:left w:val="none" w:sz="0" w:space="0" w:color="auto"/>
        <w:bottom w:val="none" w:sz="0" w:space="0" w:color="auto"/>
        <w:right w:val="none" w:sz="0" w:space="0" w:color="auto"/>
      </w:divBdr>
      <w:divsChild>
        <w:div w:id="1834493108">
          <w:marLeft w:val="0"/>
          <w:marRight w:val="0"/>
          <w:marTop w:val="0"/>
          <w:marBottom w:val="0"/>
          <w:divBdr>
            <w:top w:val="single" w:sz="2" w:space="0" w:color="auto"/>
            <w:left w:val="single" w:sz="2" w:space="0" w:color="auto"/>
            <w:bottom w:val="single" w:sz="2" w:space="0" w:color="auto"/>
            <w:right w:val="single" w:sz="2" w:space="0" w:color="auto"/>
          </w:divBdr>
          <w:divsChild>
            <w:div w:id="453720991">
              <w:marLeft w:val="0"/>
              <w:marRight w:val="0"/>
              <w:marTop w:val="0"/>
              <w:marBottom w:val="0"/>
              <w:divBdr>
                <w:top w:val="single" w:sz="2" w:space="0" w:color="auto"/>
                <w:left w:val="single" w:sz="2" w:space="0" w:color="auto"/>
                <w:bottom w:val="single" w:sz="2" w:space="0" w:color="auto"/>
                <w:right w:val="single" w:sz="2" w:space="0" w:color="auto"/>
              </w:divBdr>
              <w:divsChild>
                <w:div w:id="243539043">
                  <w:marLeft w:val="15"/>
                  <w:marRight w:val="0"/>
                  <w:marTop w:val="0"/>
                  <w:marBottom w:val="0"/>
                  <w:divBdr>
                    <w:top w:val="single" w:sz="2" w:space="0" w:color="auto"/>
                    <w:left w:val="single" w:sz="2" w:space="0" w:color="auto"/>
                    <w:bottom w:val="single" w:sz="2" w:space="0" w:color="auto"/>
                    <w:right w:val="single" w:sz="2" w:space="0" w:color="auto"/>
                  </w:divBdr>
                  <w:divsChild>
                    <w:div w:id="1569881788">
                      <w:marLeft w:val="0"/>
                      <w:marRight w:val="0"/>
                      <w:marTop w:val="0"/>
                      <w:marBottom w:val="0"/>
                      <w:divBdr>
                        <w:top w:val="single" w:sz="2" w:space="0" w:color="auto"/>
                        <w:left w:val="single" w:sz="2" w:space="0" w:color="auto"/>
                        <w:bottom w:val="single" w:sz="2" w:space="0" w:color="auto"/>
                        <w:right w:val="single" w:sz="2" w:space="0" w:color="auto"/>
                      </w:divBdr>
                      <w:divsChild>
                        <w:div w:id="1952471821">
                          <w:marLeft w:val="0"/>
                          <w:marRight w:val="0"/>
                          <w:marTop w:val="0"/>
                          <w:marBottom w:val="0"/>
                          <w:divBdr>
                            <w:top w:val="single" w:sz="2" w:space="0" w:color="auto"/>
                            <w:left w:val="single" w:sz="2" w:space="0" w:color="auto"/>
                            <w:bottom w:val="single" w:sz="2" w:space="0" w:color="auto"/>
                            <w:right w:val="single" w:sz="2" w:space="0" w:color="auto"/>
                          </w:divBdr>
                          <w:divsChild>
                            <w:div w:id="1235319259">
                              <w:marLeft w:val="0"/>
                              <w:marRight w:val="0"/>
                              <w:marTop w:val="0"/>
                              <w:marBottom w:val="0"/>
                              <w:divBdr>
                                <w:top w:val="single" w:sz="2" w:space="0" w:color="auto"/>
                                <w:left w:val="single" w:sz="2" w:space="0" w:color="auto"/>
                                <w:bottom w:val="single" w:sz="2" w:space="0" w:color="auto"/>
                                <w:right w:val="single" w:sz="2" w:space="0" w:color="auto"/>
                              </w:divBdr>
                            </w:div>
                          </w:divsChild>
                        </w:div>
                        <w:div w:id="634726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1364273">
          <w:marLeft w:val="0"/>
          <w:marRight w:val="0"/>
          <w:marTop w:val="0"/>
          <w:marBottom w:val="0"/>
          <w:divBdr>
            <w:top w:val="single" w:sz="2" w:space="0" w:color="auto"/>
            <w:left w:val="single" w:sz="2" w:space="0" w:color="auto"/>
            <w:bottom w:val="single" w:sz="2" w:space="0" w:color="auto"/>
            <w:right w:val="single" w:sz="2" w:space="0" w:color="auto"/>
          </w:divBdr>
          <w:divsChild>
            <w:div w:id="884374200">
              <w:marLeft w:val="0"/>
              <w:marRight w:val="0"/>
              <w:marTop w:val="0"/>
              <w:marBottom w:val="0"/>
              <w:divBdr>
                <w:top w:val="single" w:sz="2" w:space="0" w:color="auto"/>
                <w:left w:val="single" w:sz="2" w:space="0" w:color="auto"/>
                <w:bottom w:val="single" w:sz="2" w:space="0" w:color="auto"/>
                <w:right w:val="single" w:sz="2" w:space="0" w:color="auto"/>
              </w:divBdr>
              <w:divsChild>
                <w:div w:id="5787228">
                  <w:marLeft w:val="0"/>
                  <w:marRight w:val="0"/>
                  <w:marTop w:val="0"/>
                  <w:marBottom w:val="0"/>
                  <w:divBdr>
                    <w:top w:val="single" w:sz="2" w:space="0" w:color="auto"/>
                    <w:left w:val="single" w:sz="2" w:space="0" w:color="auto"/>
                    <w:bottom w:val="single" w:sz="2" w:space="0" w:color="auto"/>
                    <w:right w:val="single" w:sz="2" w:space="0" w:color="auto"/>
                  </w:divBdr>
                  <w:divsChild>
                    <w:div w:id="473565932">
                      <w:marLeft w:val="0"/>
                      <w:marRight w:val="0"/>
                      <w:marTop w:val="0"/>
                      <w:marBottom w:val="0"/>
                      <w:divBdr>
                        <w:top w:val="single" w:sz="2" w:space="0" w:color="auto"/>
                        <w:left w:val="single" w:sz="2" w:space="0" w:color="auto"/>
                        <w:bottom w:val="single" w:sz="2" w:space="0" w:color="auto"/>
                        <w:right w:val="single" w:sz="2" w:space="0" w:color="auto"/>
                      </w:divBdr>
                      <w:divsChild>
                        <w:div w:id="1267694037">
                          <w:marLeft w:val="0"/>
                          <w:marRight w:val="0"/>
                          <w:marTop w:val="0"/>
                          <w:marBottom w:val="0"/>
                          <w:divBdr>
                            <w:top w:val="single" w:sz="2" w:space="0" w:color="auto"/>
                            <w:left w:val="single" w:sz="2" w:space="0" w:color="auto"/>
                            <w:bottom w:val="single" w:sz="2" w:space="0" w:color="auto"/>
                            <w:right w:val="single" w:sz="2" w:space="0" w:color="auto"/>
                          </w:divBdr>
                          <w:divsChild>
                            <w:div w:id="69153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8756081">
      <w:bodyDiv w:val="1"/>
      <w:marLeft w:val="0"/>
      <w:marRight w:val="0"/>
      <w:marTop w:val="0"/>
      <w:marBottom w:val="0"/>
      <w:divBdr>
        <w:top w:val="none" w:sz="0" w:space="0" w:color="auto"/>
        <w:left w:val="none" w:sz="0" w:space="0" w:color="auto"/>
        <w:bottom w:val="none" w:sz="0" w:space="0" w:color="auto"/>
        <w:right w:val="none" w:sz="0" w:space="0" w:color="auto"/>
      </w:divBdr>
    </w:div>
    <w:div w:id="1610354842">
      <w:bodyDiv w:val="1"/>
      <w:marLeft w:val="0"/>
      <w:marRight w:val="0"/>
      <w:marTop w:val="0"/>
      <w:marBottom w:val="0"/>
      <w:divBdr>
        <w:top w:val="none" w:sz="0" w:space="0" w:color="auto"/>
        <w:left w:val="none" w:sz="0" w:space="0" w:color="auto"/>
        <w:bottom w:val="none" w:sz="0" w:space="0" w:color="auto"/>
        <w:right w:val="none" w:sz="0" w:space="0" w:color="auto"/>
      </w:divBdr>
    </w:div>
    <w:div w:id="1642491766">
      <w:bodyDiv w:val="1"/>
      <w:marLeft w:val="0"/>
      <w:marRight w:val="0"/>
      <w:marTop w:val="0"/>
      <w:marBottom w:val="0"/>
      <w:divBdr>
        <w:top w:val="none" w:sz="0" w:space="0" w:color="auto"/>
        <w:left w:val="none" w:sz="0" w:space="0" w:color="auto"/>
        <w:bottom w:val="none" w:sz="0" w:space="0" w:color="auto"/>
        <w:right w:val="none" w:sz="0" w:space="0" w:color="auto"/>
      </w:divBdr>
    </w:div>
    <w:div w:id="1686515773">
      <w:bodyDiv w:val="1"/>
      <w:marLeft w:val="0"/>
      <w:marRight w:val="0"/>
      <w:marTop w:val="0"/>
      <w:marBottom w:val="0"/>
      <w:divBdr>
        <w:top w:val="none" w:sz="0" w:space="0" w:color="auto"/>
        <w:left w:val="none" w:sz="0" w:space="0" w:color="auto"/>
        <w:bottom w:val="none" w:sz="0" w:space="0" w:color="auto"/>
        <w:right w:val="none" w:sz="0" w:space="0" w:color="auto"/>
      </w:divBdr>
    </w:div>
    <w:div w:id="1687712242">
      <w:bodyDiv w:val="1"/>
      <w:marLeft w:val="0"/>
      <w:marRight w:val="0"/>
      <w:marTop w:val="0"/>
      <w:marBottom w:val="0"/>
      <w:divBdr>
        <w:top w:val="none" w:sz="0" w:space="0" w:color="auto"/>
        <w:left w:val="none" w:sz="0" w:space="0" w:color="auto"/>
        <w:bottom w:val="none" w:sz="0" w:space="0" w:color="auto"/>
        <w:right w:val="none" w:sz="0" w:space="0" w:color="auto"/>
      </w:divBdr>
    </w:div>
    <w:div w:id="1694846469">
      <w:bodyDiv w:val="1"/>
      <w:marLeft w:val="0"/>
      <w:marRight w:val="0"/>
      <w:marTop w:val="0"/>
      <w:marBottom w:val="0"/>
      <w:divBdr>
        <w:top w:val="none" w:sz="0" w:space="0" w:color="auto"/>
        <w:left w:val="none" w:sz="0" w:space="0" w:color="auto"/>
        <w:bottom w:val="none" w:sz="0" w:space="0" w:color="auto"/>
        <w:right w:val="none" w:sz="0" w:space="0" w:color="auto"/>
      </w:divBdr>
    </w:div>
    <w:div w:id="1723943016">
      <w:bodyDiv w:val="1"/>
      <w:marLeft w:val="0"/>
      <w:marRight w:val="0"/>
      <w:marTop w:val="0"/>
      <w:marBottom w:val="0"/>
      <w:divBdr>
        <w:top w:val="none" w:sz="0" w:space="0" w:color="auto"/>
        <w:left w:val="none" w:sz="0" w:space="0" w:color="auto"/>
        <w:bottom w:val="none" w:sz="0" w:space="0" w:color="auto"/>
        <w:right w:val="none" w:sz="0" w:space="0" w:color="auto"/>
      </w:divBdr>
    </w:div>
    <w:div w:id="1767728333">
      <w:bodyDiv w:val="1"/>
      <w:marLeft w:val="0"/>
      <w:marRight w:val="0"/>
      <w:marTop w:val="0"/>
      <w:marBottom w:val="0"/>
      <w:divBdr>
        <w:top w:val="none" w:sz="0" w:space="0" w:color="auto"/>
        <w:left w:val="none" w:sz="0" w:space="0" w:color="auto"/>
        <w:bottom w:val="none" w:sz="0" w:space="0" w:color="auto"/>
        <w:right w:val="none" w:sz="0" w:space="0" w:color="auto"/>
      </w:divBdr>
    </w:div>
    <w:div w:id="1787120263">
      <w:bodyDiv w:val="1"/>
      <w:marLeft w:val="0"/>
      <w:marRight w:val="0"/>
      <w:marTop w:val="0"/>
      <w:marBottom w:val="0"/>
      <w:divBdr>
        <w:top w:val="none" w:sz="0" w:space="0" w:color="auto"/>
        <w:left w:val="none" w:sz="0" w:space="0" w:color="auto"/>
        <w:bottom w:val="none" w:sz="0" w:space="0" w:color="auto"/>
        <w:right w:val="none" w:sz="0" w:space="0" w:color="auto"/>
      </w:divBdr>
    </w:div>
    <w:div w:id="1790973524">
      <w:bodyDiv w:val="1"/>
      <w:marLeft w:val="0"/>
      <w:marRight w:val="0"/>
      <w:marTop w:val="0"/>
      <w:marBottom w:val="0"/>
      <w:divBdr>
        <w:top w:val="none" w:sz="0" w:space="0" w:color="auto"/>
        <w:left w:val="none" w:sz="0" w:space="0" w:color="auto"/>
        <w:bottom w:val="none" w:sz="0" w:space="0" w:color="auto"/>
        <w:right w:val="none" w:sz="0" w:space="0" w:color="auto"/>
      </w:divBdr>
    </w:div>
    <w:div w:id="1799882623">
      <w:bodyDiv w:val="1"/>
      <w:marLeft w:val="0"/>
      <w:marRight w:val="0"/>
      <w:marTop w:val="0"/>
      <w:marBottom w:val="0"/>
      <w:divBdr>
        <w:top w:val="none" w:sz="0" w:space="0" w:color="auto"/>
        <w:left w:val="none" w:sz="0" w:space="0" w:color="auto"/>
        <w:bottom w:val="none" w:sz="0" w:space="0" w:color="auto"/>
        <w:right w:val="none" w:sz="0" w:space="0" w:color="auto"/>
      </w:divBdr>
    </w:div>
    <w:div w:id="1803770500">
      <w:bodyDiv w:val="1"/>
      <w:marLeft w:val="0"/>
      <w:marRight w:val="0"/>
      <w:marTop w:val="0"/>
      <w:marBottom w:val="0"/>
      <w:divBdr>
        <w:top w:val="none" w:sz="0" w:space="0" w:color="auto"/>
        <w:left w:val="none" w:sz="0" w:space="0" w:color="auto"/>
        <w:bottom w:val="none" w:sz="0" w:space="0" w:color="auto"/>
        <w:right w:val="none" w:sz="0" w:space="0" w:color="auto"/>
      </w:divBdr>
      <w:divsChild>
        <w:div w:id="1792241528">
          <w:marLeft w:val="0"/>
          <w:marRight w:val="0"/>
          <w:marTop w:val="0"/>
          <w:marBottom w:val="0"/>
          <w:divBdr>
            <w:top w:val="single" w:sz="2" w:space="0" w:color="E4E6E8"/>
            <w:left w:val="single" w:sz="2" w:space="0" w:color="E4E6E8"/>
            <w:bottom w:val="single" w:sz="2" w:space="0" w:color="E4E6E8"/>
            <w:right w:val="single" w:sz="2" w:space="0" w:color="E4E6E8"/>
          </w:divBdr>
          <w:divsChild>
            <w:div w:id="100435616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822111947">
      <w:bodyDiv w:val="1"/>
      <w:marLeft w:val="0"/>
      <w:marRight w:val="0"/>
      <w:marTop w:val="0"/>
      <w:marBottom w:val="0"/>
      <w:divBdr>
        <w:top w:val="none" w:sz="0" w:space="0" w:color="auto"/>
        <w:left w:val="none" w:sz="0" w:space="0" w:color="auto"/>
        <w:bottom w:val="none" w:sz="0" w:space="0" w:color="auto"/>
        <w:right w:val="none" w:sz="0" w:space="0" w:color="auto"/>
      </w:divBdr>
    </w:div>
    <w:div w:id="1840152115">
      <w:bodyDiv w:val="1"/>
      <w:marLeft w:val="0"/>
      <w:marRight w:val="0"/>
      <w:marTop w:val="0"/>
      <w:marBottom w:val="0"/>
      <w:divBdr>
        <w:top w:val="none" w:sz="0" w:space="0" w:color="auto"/>
        <w:left w:val="none" w:sz="0" w:space="0" w:color="auto"/>
        <w:bottom w:val="none" w:sz="0" w:space="0" w:color="auto"/>
        <w:right w:val="none" w:sz="0" w:space="0" w:color="auto"/>
      </w:divBdr>
    </w:div>
    <w:div w:id="1851096736">
      <w:bodyDiv w:val="1"/>
      <w:marLeft w:val="0"/>
      <w:marRight w:val="0"/>
      <w:marTop w:val="0"/>
      <w:marBottom w:val="0"/>
      <w:divBdr>
        <w:top w:val="none" w:sz="0" w:space="0" w:color="auto"/>
        <w:left w:val="none" w:sz="0" w:space="0" w:color="auto"/>
        <w:bottom w:val="none" w:sz="0" w:space="0" w:color="auto"/>
        <w:right w:val="none" w:sz="0" w:space="0" w:color="auto"/>
      </w:divBdr>
    </w:div>
    <w:div w:id="1859083492">
      <w:bodyDiv w:val="1"/>
      <w:marLeft w:val="0"/>
      <w:marRight w:val="0"/>
      <w:marTop w:val="0"/>
      <w:marBottom w:val="0"/>
      <w:divBdr>
        <w:top w:val="none" w:sz="0" w:space="0" w:color="auto"/>
        <w:left w:val="none" w:sz="0" w:space="0" w:color="auto"/>
        <w:bottom w:val="none" w:sz="0" w:space="0" w:color="auto"/>
        <w:right w:val="none" w:sz="0" w:space="0" w:color="auto"/>
      </w:divBdr>
    </w:div>
    <w:div w:id="1864901591">
      <w:bodyDiv w:val="1"/>
      <w:marLeft w:val="0"/>
      <w:marRight w:val="0"/>
      <w:marTop w:val="0"/>
      <w:marBottom w:val="0"/>
      <w:divBdr>
        <w:top w:val="none" w:sz="0" w:space="0" w:color="auto"/>
        <w:left w:val="none" w:sz="0" w:space="0" w:color="auto"/>
        <w:bottom w:val="none" w:sz="0" w:space="0" w:color="auto"/>
        <w:right w:val="none" w:sz="0" w:space="0" w:color="auto"/>
      </w:divBdr>
    </w:div>
    <w:div w:id="1880434129">
      <w:bodyDiv w:val="1"/>
      <w:marLeft w:val="0"/>
      <w:marRight w:val="0"/>
      <w:marTop w:val="0"/>
      <w:marBottom w:val="0"/>
      <w:divBdr>
        <w:top w:val="none" w:sz="0" w:space="0" w:color="auto"/>
        <w:left w:val="none" w:sz="0" w:space="0" w:color="auto"/>
        <w:bottom w:val="none" w:sz="0" w:space="0" w:color="auto"/>
        <w:right w:val="none" w:sz="0" w:space="0" w:color="auto"/>
      </w:divBdr>
    </w:div>
    <w:div w:id="1883253284">
      <w:bodyDiv w:val="1"/>
      <w:marLeft w:val="0"/>
      <w:marRight w:val="0"/>
      <w:marTop w:val="0"/>
      <w:marBottom w:val="0"/>
      <w:divBdr>
        <w:top w:val="none" w:sz="0" w:space="0" w:color="auto"/>
        <w:left w:val="none" w:sz="0" w:space="0" w:color="auto"/>
        <w:bottom w:val="none" w:sz="0" w:space="0" w:color="auto"/>
        <w:right w:val="none" w:sz="0" w:space="0" w:color="auto"/>
      </w:divBdr>
    </w:div>
    <w:div w:id="1917474009">
      <w:bodyDiv w:val="1"/>
      <w:marLeft w:val="0"/>
      <w:marRight w:val="0"/>
      <w:marTop w:val="0"/>
      <w:marBottom w:val="0"/>
      <w:divBdr>
        <w:top w:val="none" w:sz="0" w:space="0" w:color="auto"/>
        <w:left w:val="none" w:sz="0" w:space="0" w:color="auto"/>
        <w:bottom w:val="none" w:sz="0" w:space="0" w:color="auto"/>
        <w:right w:val="none" w:sz="0" w:space="0" w:color="auto"/>
      </w:divBdr>
    </w:div>
    <w:div w:id="1940482556">
      <w:bodyDiv w:val="1"/>
      <w:marLeft w:val="0"/>
      <w:marRight w:val="0"/>
      <w:marTop w:val="0"/>
      <w:marBottom w:val="0"/>
      <w:divBdr>
        <w:top w:val="none" w:sz="0" w:space="0" w:color="auto"/>
        <w:left w:val="none" w:sz="0" w:space="0" w:color="auto"/>
        <w:bottom w:val="none" w:sz="0" w:space="0" w:color="auto"/>
        <w:right w:val="none" w:sz="0" w:space="0" w:color="auto"/>
      </w:divBdr>
    </w:div>
    <w:div w:id="2113817149">
      <w:bodyDiv w:val="1"/>
      <w:marLeft w:val="0"/>
      <w:marRight w:val="0"/>
      <w:marTop w:val="0"/>
      <w:marBottom w:val="0"/>
      <w:divBdr>
        <w:top w:val="none" w:sz="0" w:space="0" w:color="auto"/>
        <w:left w:val="none" w:sz="0" w:space="0" w:color="auto"/>
        <w:bottom w:val="none" w:sz="0" w:space="0" w:color="auto"/>
        <w:right w:val="none" w:sz="0" w:space="0" w:color="auto"/>
      </w:divBdr>
      <w:divsChild>
        <w:div w:id="1484662551">
          <w:marLeft w:val="0"/>
          <w:marRight w:val="0"/>
          <w:marTop w:val="0"/>
          <w:marBottom w:val="0"/>
          <w:divBdr>
            <w:top w:val="single" w:sz="2" w:space="0" w:color="auto"/>
            <w:left w:val="single" w:sz="2" w:space="0" w:color="auto"/>
            <w:bottom w:val="single" w:sz="2" w:space="0" w:color="auto"/>
            <w:right w:val="single" w:sz="2" w:space="0" w:color="auto"/>
          </w:divBdr>
          <w:divsChild>
            <w:div w:id="661545012">
              <w:marLeft w:val="0"/>
              <w:marRight w:val="0"/>
              <w:marTop w:val="0"/>
              <w:marBottom w:val="0"/>
              <w:divBdr>
                <w:top w:val="single" w:sz="2" w:space="0" w:color="auto"/>
                <w:left w:val="single" w:sz="2" w:space="0" w:color="auto"/>
                <w:bottom w:val="single" w:sz="2" w:space="0" w:color="auto"/>
                <w:right w:val="single" w:sz="2" w:space="0" w:color="auto"/>
              </w:divBdr>
              <w:divsChild>
                <w:div w:id="186453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1589554">
          <w:marLeft w:val="0"/>
          <w:marRight w:val="0"/>
          <w:marTop w:val="0"/>
          <w:marBottom w:val="0"/>
          <w:divBdr>
            <w:top w:val="single" w:sz="2" w:space="0" w:color="auto"/>
            <w:left w:val="single" w:sz="2" w:space="0" w:color="auto"/>
            <w:bottom w:val="single" w:sz="2" w:space="0" w:color="auto"/>
            <w:right w:val="single" w:sz="2" w:space="0" w:color="auto"/>
          </w:divBdr>
          <w:divsChild>
            <w:div w:id="1325207090">
              <w:marLeft w:val="0"/>
              <w:marRight w:val="0"/>
              <w:marTop w:val="0"/>
              <w:marBottom w:val="0"/>
              <w:divBdr>
                <w:top w:val="single" w:sz="2" w:space="0" w:color="auto"/>
                <w:left w:val="single" w:sz="2" w:space="0" w:color="auto"/>
                <w:bottom w:val="single" w:sz="2" w:space="0" w:color="auto"/>
                <w:right w:val="single" w:sz="2" w:space="0" w:color="auto"/>
              </w:divBdr>
              <w:divsChild>
                <w:div w:id="1420181153">
                  <w:marLeft w:val="0"/>
                  <w:marRight w:val="0"/>
                  <w:marTop w:val="0"/>
                  <w:marBottom w:val="0"/>
                  <w:divBdr>
                    <w:top w:val="single" w:sz="2" w:space="0" w:color="auto"/>
                    <w:left w:val="single" w:sz="2" w:space="0" w:color="auto"/>
                    <w:bottom w:val="single" w:sz="2" w:space="0" w:color="auto"/>
                    <w:right w:val="single" w:sz="2" w:space="0" w:color="auto"/>
                  </w:divBdr>
                  <w:divsChild>
                    <w:div w:id="92997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43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150C7-A209-47AB-9B93-0BB67C62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2691</Words>
  <Characters>15345</Characters>
  <Application>Microsoft Office Word</Application>
  <DocSecurity>0</DocSecurity>
  <Lines>127</Lines>
  <Paragraphs>35</Paragraphs>
  <ScaleCrop>false</ScaleCrop>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RERT</dc:title>
  <dc:subject>Data Warehousing</dc:subject>
  <dc:creator>Mudasir Wazir</dc:creator>
  <cp:keywords/>
  <dc:description/>
  <cp:lastModifiedBy>Mudasir Wazir</cp:lastModifiedBy>
  <cp:revision>4</cp:revision>
  <dcterms:created xsi:type="dcterms:W3CDTF">2024-12-14T05:05:00Z</dcterms:created>
  <dcterms:modified xsi:type="dcterms:W3CDTF">2024-12-14T05:10:00Z</dcterms:modified>
</cp:coreProperties>
</file>