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44546A"/>
          <w:sz w:val="20"/>
          <w:szCs w:val="20"/>
        </w:rPr>
        <w:t xml:space="preserve">AMBASSADOR INTERNATIONAL ACADEMY, DUBAI</w:t>
      </w:r>
    </w:p>
    <w:p>
      <w:pPr>
        <w:spacing w:after="60"/>
        <w:jc w:val="center"/>
      </w:pPr>
      <w:r>
        <w:rPr>
          <w:b/>
          <w:bCs/>
          <w:color w:val="44546A"/>
          <w:sz w:val="32"/>
          <w:szCs w:val="32"/>
        </w:rPr>
        <w:t xml:space="preserve">Criterion A: Inquiring &amp; Analysing — Student Summative Answer Booklet</w:t>
      </w:r>
    </w:p>
    <w:p>
      <w:pPr>
        <w:spacing w:after="300"/>
        <w:jc w:val="center"/>
      </w:pPr>
      <w:r>
        <w:rPr>
          <w:b w:val="0"/>
          <w:i/>
          <w:sz w:val="24"/>
        </w:rPr>
        <w:t>Grade 10  ·  Design a Solution for a Community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Name: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Teacher exemplar</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Class: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Grade 10</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Date:</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21 October 2026</w:t>
            </w:r>
          </w:p>
        </w:tc>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Unit:</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20"/>
              </w:rPr>
              <w:t>Unit 1 · Community Problem 10</w:t>
            </w:r>
          </w:p>
        </w:tc>
      </w:tr>
    </w:tbl>
    <w:p>
      <w:pPr>
        <w:spacing w:before="300"/>
      </w:pPr>
    </w:p>
    <w:p>
      <w:pPr>
        <w:shd w:fill="FFF2CC" w:color="auto" w:val="clear"/>
        <w:spacing w:after="300"/>
      </w:pPr>
      <w:r>
        <w:rPr>
          <w:b w:val="0"/>
          <w:i/>
          <w:sz w:val="18"/>
        </w:rPr>
        <w:t>Teacher exemplar: the client and school are fictional; every statistic and product fact is from the cited sources (MLA 9, accessed 21 Oct. 2026). The three product images are the author's own labelled illustrations based on the cited sources; a student should replace them with a cited photo. Yellow highlighting marks where a student must add their own data.</w:t>
      </w:r>
    </w:p>
    <w:p>
      <w:pPr>
        <w:shd w:fill="FFF2CC" w:color="auto" w:val="clear"/>
        <w:spacing w:after="300"/>
      </w:pPr>
      <w:r>
        <w:rPr>
          <w:b/>
          <w:bCs/>
          <w:sz w:val="20"/>
          <w:szCs w:val="20"/>
        </w:rPr>
        <w:t xml:space="preserve">📋 HOW TO SUBMIT:  </w:t>
      </w:r>
      <w:r>
        <w:rPr>
          <w:sz w:val="20"/>
          <w:szCs w:val="20"/>
        </w:rPr>
        <w:t xml:space="preserve">Type your answers directly into this document — this is your Criterion A summative submission. Complete Sections A1 to A4 in full sentences / paragraphs (unless a table is provided). Save your work as you go and submit via Google Classroom → Unit 1 → Criterion A → "My Criterion A Document".</w:t>
      </w:r>
    </w:p>
    <w:p>
      <w:pPr>
        <w:shd w:fill="44546A" w:color="auto" w:val="clear"/>
        <w:spacing w:after="60" w:before="400"/>
      </w:pPr>
      <w:r>
        <w:rPr>
          <w:b/>
          <w:bCs/>
          <w:color w:val="FFFFFF"/>
          <w:sz w:val="28"/>
          <w:szCs w:val="28"/>
        </w:rPr>
        <w:t xml:space="preserve">  A1  </w:t>
      </w:r>
      <w:r>
        <w:rPr>
          <w:b/>
          <w:bCs/>
          <w:color w:val="FFFFFF"/>
          <w:sz w:val="28"/>
          <w:szCs w:val="28"/>
        </w:rPr>
        <w:t xml:space="preserve">  Design Need</w:t>
      </w:r>
    </w:p>
    <w:p>
      <w:pPr>
        <w:spacing w:after="200"/>
      </w:pPr>
      <w:r>
        <w:rPr>
          <w:b w:val="0"/>
          <w:i w:val="0"/>
          <w:sz w:val="22"/>
        </w:rPr>
        <w:t>Identify and explain the problem faced by your client and community.</w:t>
      </w:r>
    </w:p>
    <w:p>
      <w:pPr>
        <w:pBdr>
          <w:top w:val="single" w:color="2E75B6" w:sz="4"/>
          <w:bottom w:val="single" w:color="2E75B6" w:sz="4"/>
          <w:left w:val="single" w:color="2E75B6" w:sz="4"/>
          <w:right w:val="single" w:color="2E75B6" w:sz="4"/>
        </w:pBdr>
        <w:shd w:fill="EAF3FA" w:color="auto" w:val="clear"/>
        <w:spacing w:after="200"/>
      </w:pPr>
      <w:r>
        <w:rPr>
          <w:b w:val="0"/>
          <w:i w:val="0"/>
          <w:sz w:val="20"/>
        </w:rPr>
        <w:t>📄  Write one continuous essay of connected paragraphs (250–400 words) about the PROBLEM, not about a solution. Explain who the client is and what they need, who is affected, why a solution is needed, and use images and statistics to show the problem is real. You may add a mind map to organise your ideas. Cite every source in MLA 9.</w:t>
      </w:r>
    </w:p>
    <w:p>
      <w:pPr>
        <w:pBdr>
          <w:bottom w:val="single" w:color="BFBFBF" w:sz="4" w:space="1"/>
        </w:pBdr>
        <w:spacing w:after="260"/>
      </w:pPr>
      <w:r>
        <w:rPr>
          <w:b w:val="0"/>
          <w:i w:val="0"/>
          <w:sz w:val="22"/>
        </w:rPr>
        <w:t>My client is the head of the clinic at a school in Dubai (a fictional client created for this task). The clinic looks after students with food allergies, and it knows that a small amount of the wrong food can cause a serious reaction. The head of the clinic is concerned that, in a busy school where food is shared and many adults handle it, an allergen could be eaten without anybody realising until a student becomes unwell. The client needs students with food allergies to be protected at school, and any reaction to be recognised and treated quickly.</w:t>
      </w:r>
    </w:p>
    <w:p>
      <w:pPr>
        <w:pBdr>
          <w:bottom w:val="single" w:color="BFBFBF" w:sz="4" w:space="1"/>
        </w:pBdr>
        <w:spacing w:after="260"/>
      </w:pPr>
      <w:r>
        <w:rPr>
          <w:b w:val="0"/>
          <w:i w:val="0"/>
          <w:sz w:val="22"/>
        </w:rPr>
        <w:t>The students with food allergies and their families are affected most, because they must trust the school every day. Classmates are affected because they often share food and may not know the risk. Teachers, canteen staff and the nurse are affected because the safety of a student depends on what they notice and do. The wider school community is affected because one serious reaction changes how everyone feels about eating together.</w:t>
      </w:r>
    </w:p>
    <w:p>
      <w:pPr>
        <w:pBdr>
          <w:bottom w:val="single" w:color="BFBFBF" w:sz="4" w:space="1"/>
        </w:pBdr>
        <w:spacing w:after="260"/>
      </w:pPr>
      <w:r>
        <w:rPr>
          <w:b w:val="0"/>
          <w:i w:val="0"/>
          <w:sz w:val="22"/>
        </w:rPr>
        <w:t>The need is supported by evidence. A survey by Sharjah University Hospital of 33 UAE schools found that 16–18% of allergic schoolchildren react during school hours, that most schools lacked EpiPens, and that of 14 anaphylactic episodes only two were treated with an EpiPen (Chaudhary). In a study of accidental reactions in Irish schools and preschools, 50% of reactions in schools involved human error or failure to follow procedure, and 28% involved an allergen that had not been recognised (Crealey and Byrne). The UAE survey is from 2018 and covered only part of the schools approached, so I treat it as a pattern, not as a current total.</w:t>
      </w:r>
    </w:p>
    <w:p>
      <w:pPr>
        <w:pBdr>
          <w:bottom w:val="single" w:color="BFBFBF" w:sz="4" w:space="1"/>
        </w:pBdr>
        <w:spacing w:after="260"/>
      </w:pPr>
      <w:r>
        <w:rPr>
          <w:b w:val="0"/>
          <w:i w:val="0"/>
          <w:sz w:val="22"/>
        </w:rPr>
        <w:t>Figure 1 summarises the key figures. In my own words, an allergic reaction is often not caused by a lack of rules but by a moment in which the information was missing, the food was shared or the label was not read. I still need to find out how this looks in my own school, and I will use an observation checklist and a short survey, without recording any student's name or medical details. Figure 2 is my mind map of the problem.</w:t>
      </w:r>
    </w:p>
    <w:p>
      <w:pPr>
        <w:pBdr>
          <w:bottom w:val="single" w:color="BFBFBF" w:sz="4" w:space="1"/>
        </w:pBdr>
        <w:spacing w:after="40"/>
        <w:jc w:val="center"/>
      </w:pPr>
      <w:r>
        <w:drawing>
          <wp:inline xmlns:a="http://schemas.openxmlformats.org/drawingml/2006/main" xmlns:pic="http://schemas.openxmlformats.org/drawingml/2006/picture">
            <wp:extent cx="5120640" cy="1844102"/>
            <wp:docPr id="1" name="Picture 1"/>
            <wp:cNvGraphicFramePr>
              <a:graphicFrameLocks noChangeAspect="1"/>
            </wp:cNvGraphicFramePr>
            <a:graphic>
              <a:graphicData uri="http://schemas.openxmlformats.org/drawingml/2006/picture">
                <pic:pic>
                  <pic:nvPicPr>
                    <pic:cNvPr id="0" name="t10_stat.png"/>
                    <pic:cNvPicPr/>
                  </pic:nvPicPr>
                  <pic:blipFill>
                    <a:blip r:embed="rId10"/>
                    <a:stretch>
                      <a:fillRect/>
                    </a:stretch>
                  </pic:blipFill>
                  <pic:spPr>
                    <a:xfrm>
                      <a:off x="0" y="0"/>
                      <a:ext cx="5120640" cy="1844102"/>
                    </a:xfrm>
                    <a:prstGeom prst="rect"/>
                  </pic:spPr>
                </pic:pic>
              </a:graphicData>
            </a:graphic>
          </wp:inline>
        </w:drawing>
      </w:r>
    </w:p>
    <w:p>
      <w:pPr>
        <w:pBdr>
          <w:bottom w:val="single" w:color="BFBFBF" w:sz="4" w:space="1"/>
        </w:pBdr>
        <w:spacing w:after="260"/>
      </w:pPr>
      <w:r>
        <w:rPr>
          <w:b w:val="0"/>
          <w:i/>
          <w:sz w:val="18"/>
        </w:rPr>
        <w:t>Fig. 1. Key figures on food allergy at school. Data: Chaudhary, Gulf News, 2018; Crealey and Byrne, Irish Journal of Medical Science, 2024. Graphic by the author.</w:t>
      </w:r>
    </w:p>
    <w:p>
      <w:pPr>
        <w:pBdr>
          <w:bottom w:val="single" w:color="BFBFBF" w:sz="4" w:space="1"/>
        </w:pBdr>
        <w:spacing w:after="40"/>
        <w:jc w:val="center"/>
      </w:pPr>
      <w:r>
        <w:drawing>
          <wp:inline xmlns:a="http://schemas.openxmlformats.org/drawingml/2006/main" xmlns:pic="http://schemas.openxmlformats.org/drawingml/2006/picture">
            <wp:extent cx="4937760" cy="3567175"/>
            <wp:docPr id="2" name="Picture 2"/>
            <wp:cNvGraphicFramePr>
              <a:graphicFrameLocks noChangeAspect="1"/>
            </wp:cNvGraphicFramePr>
            <a:graphic>
              <a:graphicData uri="http://schemas.openxmlformats.org/drawingml/2006/picture">
                <pic:pic>
                  <pic:nvPicPr>
                    <pic:cNvPr id="0" name="t10_mind.png"/>
                    <pic:cNvPicPr/>
                  </pic:nvPicPr>
                  <pic:blipFill>
                    <a:blip r:embed="rId11"/>
                    <a:stretch>
                      <a:fillRect/>
                    </a:stretch>
                  </pic:blipFill>
                  <pic:spPr>
                    <a:xfrm>
                      <a:off x="0" y="0"/>
                      <a:ext cx="4937760" cy="3567175"/>
                    </a:xfrm>
                    <a:prstGeom prst="rect"/>
                  </pic:spPr>
                </pic:pic>
              </a:graphicData>
            </a:graphic>
          </wp:inline>
        </w:drawing>
      </w:r>
    </w:p>
    <w:p>
      <w:pPr>
        <w:pBdr>
          <w:bottom w:val="single" w:color="BFBFBF" w:sz="4" w:space="1"/>
        </w:pBdr>
        <w:spacing w:after="260"/>
      </w:pPr>
      <w:r>
        <w:rPr>
          <w:b w:val="0"/>
          <w:i/>
          <w:sz w:val="18"/>
        </w:rPr>
        <w:t>Fig. 2. Mind map of the problem. Sources are listed in Appendix A. Mind map by the author.</w:t>
      </w:r>
    </w:p>
    <w:p>
      <w:pPr>
        <w:spacing w:after="100"/>
      </w:pPr>
      <w:r>
        <w:rPr>
          <w:i/>
          <w:iCs/>
          <w:color w:val="666666"/>
          <w:sz w:val="18"/>
          <w:szCs w:val="18"/>
        </w:rPr>
        <w:t xml:space="preserve">Target: 250–400 words across all four answers.</w:t>
      </w:r>
    </w:p>
    <w:p>
      <w:r>
        <w:br w:type="page"/>
      </w:r>
    </w:p>
    <w:p>
      <w:pPr>
        <w:shd w:fill="44546A" w:color="auto" w:val="clear"/>
        <w:spacing w:after="60" w:before="400"/>
      </w:pPr>
      <w:r>
        <w:rPr>
          <w:b/>
          <w:bCs/>
          <w:color w:val="FFFFFF"/>
          <w:sz w:val="28"/>
          <w:szCs w:val="28"/>
        </w:rPr>
        <w:t xml:space="preserve">  A2  </w:t>
      </w:r>
      <w:r>
        <w:rPr>
          <w:b/>
          <w:bCs/>
          <w:color w:val="FFFFFF"/>
          <w:sz w:val="28"/>
          <w:szCs w:val="28"/>
        </w:rPr>
        <w:t xml:space="preserve">  Research Plan</w:t>
      </w:r>
    </w:p>
    <w:p>
      <w:pPr>
        <w:spacing w:after="200"/>
      </w:pPr>
      <w:r>
        <w:rPr>
          <w:i/>
          <w:iCs/>
          <w:color w:val="44546A"/>
          <w:sz w:val="20"/>
          <w:szCs w:val="20"/>
        </w:rPr>
        <w:t xml:space="preserve">Plan and record the research behind the problem you defined in A1.</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You need 6 research questions in total for your topic — a mix of Factual, Conceptual and Debatable questions (include at least one of each type). Complete every column for each question.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2"/>
        <w:gridCol w:w="2448"/>
        <w:gridCol w:w="936"/>
        <w:gridCol w:w="1152"/>
        <w:gridCol w:w="2160"/>
        <w:gridCol w:w="3240"/>
      </w:tblGrid>
      <w:tr>
        <w:trPr>
          <w:tblHeader/>
        </w:trPr>
        <w:tc>
          <w:tcPr>
            <w:tcW w:type="dxa" w:w="43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w:t>
            </w:r>
          </w:p>
        </w:tc>
        <w:tc>
          <w:tcPr>
            <w:tcW w:type="dxa" w:w="2448"/>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Question</w:t>
            </w:r>
          </w:p>
        </w:tc>
        <w:tc>
          <w:tcPr>
            <w:tcW w:type="dxa" w:w="93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Priority</w:t>
            </w:r>
          </w:p>
        </w:tc>
        <w:tc>
          <w:tcPr>
            <w:tcW w:type="dxa" w:w="1152"/>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Type (Primary or Secondary)</w:t>
            </w:r>
          </w:p>
        </w:tc>
        <w:tc>
          <w:tcPr>
            <w:tcW w:type="dxa" w:w="216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Research Link or Evidence</w:t>
            </w:r>
          </w:p>
        </w:tc>
        <w:tc>
          <w:tcPr>
            <w:tcW w:type="dxa" w:w="324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Brief Answer</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1</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How often do allergic reactions happen in school, and who is affected?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Chaudhary, Gulf News,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 least 8% of schoolchildren have food allergies; 16–18% of allergic children react during school hours; most surveyed schools lacked EpiPens; of 14 anaphylactic episodes, 12 were treated with antihistamines and two with an EpiPen.</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2</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What causes accidental allergic reactions in schools?</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Crealey and Byrne, 2024 (Appendix A, Source 1)</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 schools, 50% of reactions involved human error or failure to follow procedure, 28% an unrecognised allergen, and about three-quarters involved food sharing; no student with anaphylaxis was given adrenaline by staff.</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3</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Conceptual: Why can a tiny amount of an allergen be dangerous, and how can its presence be detected or communicated?</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3, 4 and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Ingredient information can be checked against a person's profile, a sample can be tested for a specific allergen, or people can be warned by a visible sign. Each depends on the information being available at the right moment.</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4</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Should protection from allergens rely on checking the food, on identifying the person at risk, or on training people?</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Medium</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Appendix A, Sources 1 to 5</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Checking food catches the hazard but only for the allergens it tests; identifying the person alerts others; training addresses human error. My view: each covers a different gap.</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5</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Debatable (challenges my assumption, UAE source): Food allergy is rare, so is it a big enough problem for a school to act on?</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Secondary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Chaudhary, Gulf News, 2018 (Appendix A, Source 2)</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At least 8% of schoolchildren have food allergies and 16–18% of them react at school, so a school of 1,000 students probably has dozens of allergic students. The survey is old and partial, so my own checklist must show what is in place in my school.</w:t>
            </w:r>
          </w:p>
        </w:tc>
      </w:tr>
      <w:tr>
        <w:tc>
          <w:tcPr>
            <w:tcW w:type="dxa" w:w="432"/>
            <w:tcBorders>
              <w:top w:val="single" w:color="BFBFBF" w:sz="4"/>
              <w:left w:val="single" w:color="BFBFBF" w:sz="4"/>
              <w:bottom w:val="single" w:color="BFBFBF" w:sz="4"/>
              <w:right w:val="single" w:color="BFBFBF" w:sz="4"/>
            </w:tcBorders>
            <w:shd w:fill="EDEDED" w:color="auto" w:val="clear"/>
            <w:tcMar>
              <w:top w:type="dxa" w:w="120"/>
              <w:left w:type="dxa" w:w="80"/>
              <w:bottom w:type="dxa" w:w="120"/>
              <w:right w:type="dxa" w:w="80"/>
            </w:tcMar>
            <w:vAlign w:val="center"/>
          </w:tcPr>
          <w:p>
            <w:pPr>
              <w:jc w:val="center"/>
            </w:pPr>
            <w:r>
              <w:rPr>
                <w:b/>
                <w:bCs/>
                <w:sz w:val="20"/>
                <w:szCs w:val="20"/>
              </w:rPr>
              <w:t xml:space="preserve">6</w:t>
            </w:r>
          </w:p>
        </w:tc>
        <w:tc>
          <w:tcPr>
            <w:tcW w:type="dxa" w:w="2448"/>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Factual (primary): How is allergy information handled in our school, and what do students and staff know about it?</w:t>
            </w:r>
          </w:p>
        </w:tc>
        <w:tc>
          <w:tcPr>
            <w:tcW w:type="dxa" w:w="93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High</w:t>
            </w:r>
          </w:p>
        </w:tc>
        <w:tc>
          <w:tcPr>
            <w:tcW w:type="dxa" w:w="1152"/>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Primary</w:t>
            </w:r>
          </w:p>
        </w:tc>
        <w:tc>
          <w:tcPr>
            <w:tcW w:type="dxa" w:w="216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Own allergy-information checklist and survey (Appendix A, Sources 6 and 7)</w:t>
            </w:r>
          </w:p>
        </w:tc>
        <w:tc>
          <w:tcPr>
            <w:tcW w:type="dxa" w:w="3240"/>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highlight w:val="yellow"/>
              </w:rPr>
              <w:t>[Student data needed: write the checklist counts and survey averages (with permission), then two sentences on the pattern you see. Do not record names or medical details.]</w:t>
            </w:r>
          </w:p>
        </w:tc>
      </w:tr>
    </w:tbl>
    <w:p>
      <w:pPr>
        <w:spacing w:after="100" w:before="100"/>
      </w:pPr>
      <w:r>
        <w:rPr>
          <w:i/>
          <w:iCs/>
          <w:color w:val="666666"/>
          <w:sz w:val="18"/>
          <w:szCs w:val="18"/>
        </w:rPr>
        <w:t xml:space="preserve">Extension: make one of your debatable questions challenge your own design assumption, with a named UAE-specific source.</w:t>
      </w:r>
    </w:p>
    <w:p>
      <w:r>
        <w:br w:type="page"/>
      </w:r>
    </w:p>
    <w:p>
      <w:pPr>
        <w:shd w:fill="44546A" w:color="auto" w:val="clear"/>
        <w:spacing w:after="60" w:before="400"/>
      </w:pPr>
      <w:r>
        <w:rPr>
          <w:b/>
          <w:bCs/>
          <w:color w:val="FFFFFF"/>
          <w:sz w:val="28"/>
          <w:szCs w:val="28"/>
        </w:rPr>
        <w:t xml:space="preserve">  A3  </w:t>
      </w:r>
      <w:r>
        <w:rPr>
          <w:b/>
          <w:bCs/>
          <w:color w:val="FFFFFF"/>
          <w:sz w:val="28"/>
          <w:szCs w:val="28"/>
        </w:rPr>
        <w:t xml:space="preserve">  Existing Products Analysis</w:t>
      </w:r>
    </w:p>
    <w:p>
      <w:pPr>
        <w:spacing w:after="200"/>
      </w:pPr>
      <w:r>
        <w:rPr>
          <w:b w:val="0"/>
          <w:i/>
          <w:sz w:val="20"/>
        </w:rPr>
        <w:t>Analyse 3 existing products or solutions that are significantly different from each other.</w:t>
      </w:r>
    </w:p>
    <w:p>
      <w:pPr>
        <w:pBdr>
          <w:top w:val="single" w:color="2E75B6" w:sz="4"/>
          <w:bottom w:val="single" w:color="2E75B6" w:sz="4"/>
          <w:left w:val="single" w:color="2E75B6" w:sz="4"/>
          <w:right w:val="single" w:color="2E75B6" w:sz="4"/>
        </w:pBdr>
        <w:shd w:fill="EAF3FA" w:color="auto" w:val="clear"/>
        <w:spacing w:after="200"/>
      </w:pPr>
      <w:r>
        <w:rPr>
          <w:b w:val="0"/>
          <w:i w:val="0"/>
          <w:sz w:val="20"/>
        </w:rPr>
        <w:t>📄  Describe 3 existing products or solutions. For each, include an image (cited MLA 9), analyse against at least 4 ACCESS FM strands using specific cited evidence, and give a pro and a con.</w:t>
      </w:r>
    </w:p>
    <w:p>
      <w:pPr>
        <w:spacing w:after="100" w:before="120"/>
      </w:pPr>
      <w:r>
        <w:rPr>
          <w:b/>
          <w:bCs/>
          <w:sz w:val="20"/>
          <w:szCs w:val="20"/>
        </w:rPr>
        <w:t xml:space="preserve">Product names (and pasted image/screenshot for each — cite with MLA9):</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3116"/>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1: Allergen-scanning phone app (Fig)</w:t>
            </w:r>
          </w:p>
          <w:p>
            <w:pPr>
              <w:jc w:val="center"/>
            </w:pPr>
            <w:r>
              <w:drawing>
                <wp:inline xmlns:a="http://schemas.openxmlformats.org/drawingml/2006/main" xmlns:pic="http://schemas.openxmlformats.org/drawingml/2006/picture">
                  <wp:extent cx="1874519" cy="1425916"/>
                  <wp:docPr id="3" name="Picture 3"/>
                  <wp:cNvGraphicFramePr>
                    <a:graphicFrameLocks noChangeAspect="1"/>
                  </wp:cNvGraphicFramePr>
                  <a:graphic>
                    <a:graphicData uri="http://schemas.openxmlformats.org/drawingml/2006/picture">
                      <pic:pic>
                        <pic:nvPicPr>
                          <pic:cNvPr id="0" name="t10_p1.png"/>
                          <pic:cNvPicPr/>
                        </pic:nvPicPr>
                        <pic:blipFill>
                          <a:blip r:embed="rId12"/>
                          <a:stretch>
                            <a:fillRect/>
                          </a:stretch>
                        </pic:blipFill>
                        <pic:spPr>
                          <a:xfrm>
                            <a:off x="0" y="0"/>
                            <a:ext cx="1874519" cy="1425916"/>
                          </a:xfrm>
                          <a:prstGeom prst="rect"/>
                        </pic:spPr>
                      </pic:pic>
                    </a:graphicData>
                  </a:graphic>
                </wp:inline>
              </w:drawing>
            </w:r>
          </w:p>
          <w:p>
            <w:r>
              <w:rPr>
                <w:b w:val="0"/>
                <w:i/>
                <w:sz w:val="15"/>
              </w:rPr>
              <w:t>Illustration by the author based on “Fig: Food Scanner &amp; Recipes,” App Store (Appendix A, Source 3).</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2: Portable allergen tester (Nima)</w:t>
            </w:r>
          </w:p>
          <w:p>
            <w:pPr>
              <w:jc w:val="center"/>
            </w:pPr>
            <w:r>
              <w:drawing>
                <wp:inline xmlns:a="http://schemas.openxmlformats.org/drawingml/2006/main" xmlns:pic="http://schemas.openxmlformats.org/drawingml/2006/picture">
                  <wp:extent cx="1874519" cy="1425916"/>
                  <wp:docPr id="4" name="Picture 4"/>
                  <wp:cNvGraphicFramePr>
                    <a:graphicFrameLocks noChangeAspect="1"/>
                  </wp:cNvGraphicFramePr>
                  <a:graphic>
                    <a:graphicData uri="http://schemas.openxmlformats.org/drawingml/2006/picture">
                      <pic:pic>
                        <pic:nvPicPr>
                          <pic:cNvPr id="0" name="t10_p2.png"/>
                          <pic:cNvPicPr/>
                        </pic:nvPicPr>
                        <pic:blipFill>
                          <a:blip r:embed="rId13"/>
                          <a:stretch>
                            <a:fillRect/>
                          </a:stretch>
                        </pic:blipFill>
                        <pic:spPr>
                          <a:xfrm>
                            <a:off x="0" y="0"/>
                            <a:ext cx="1874519" cy="1425916"/>
                          </a:xfrm>
                          <a:prstGeom prst="rect"/>
                        </pic:spPr>
                      </pic:pic>
                    </a:graphicData>
                  </a:graphic>
                </wp:inline>
              </w:drawing>
            </w:r>
          </w:p>
          <w:p>
            <w:r>
              <w:rPr>
                <w:b w:val="0"/>
                <w:i/>
                <w:sz w:val="15"/>
              </w:rPr>
              <w:t>Illustration by the author based on Manuell, “Nima: The Portable Allergen-Detection Phenomenon” (Appendix A, Source 4).</w:t>
            </w:r>
          </w:p>
          <w:p>
            <w:r>
              <w:rPr>
                <w:b w:val="0"/>
                <w:i w:val="0"/>
                <w:sz w:val="15"/>
                <w:highlight w:val="yellow"/>
              </w:rPr>
              <w:t>[Student: replace with a photo from the source, cited MLA 9]</w:t>
            </w:r>
          </w:p>
        </w:tc>
        <w:tc>
          <w:tcPr>
            <w:tcW w:type="dxa" w:w="3116"/>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i w:val="0"/>
                <w:sz w:val="17"/>
              </w:rPr>
              <w:t>Product 3: Allergy alert wristband (Medical ID Solutions 3107AA)</w:t>
            </w:r>
          </w:p>
          <w:p>
            <w:pPr>
              <w:jc w:val="center"/>
            </w:pPr>
            <w:r>
              <w:drawing>
                <wp:inline xmlns:a="http://schemas.openxmlformats.org/drawingml/2006/main" xmlns:pic="http://schemas.openxmlformats.org/drawingml/2006/picture">
                  <wp:extent cx="1874519" cy="1425916"/>
                  <wp:docPr id="5" name="Picture 5"/>
                  <wp:cNvGraphicFramePr>
                    <a:graphicFrameLocks noChangeAspect="1"/>
                  </wp:cNvGraphicFramePr>
                  <a:graphic>
                    <a:graphicData uri="http://schemas.openxmlformats.org/drawingml/2006/picture">
                      <pic:pic>
                        <pic:nvPicPr>
                          <pic:cNvPr id="0" name="t10_p3.png"/>
                          <pic:cNvPicPr/>
                        </pic:nvPicPr>
                        <pic:blipFill>
                          <a:blip r:embed="rId14"/>
                          <a:stretch>
                            <a:fillRect/>
                          </a:stretch>
                        </pic:blipFill>
                        <pic:spPr>
                          <a:xfrm>
                            <a:off x="0" y="0"/>
                            <a:ext cx="1874519" cy="1425916"/>
                          </a:xfrm>
                          <a:prstGeom prst="rect"/>
                        </pic:spPr>
                      </pic:pic>
                    </a:graphicData>
                  </a:graphic>
                </wp:inline>
              </w:drawing>
            </w:r>
          </w:p>
          <w:p>
            <w:r>
              <w:rPr>
                <w:b w:val="0"/>
                <w:i/>
                <w:sz w:val="15"/>
              </w:rPr>
              <w:t>Illustration by the author based on the wristband listing, LAC (Appendix A, Source 5).</w:t>
            </w:r>
          </w:p>
          <w:p>
            <w:r>
              <w:rPr>
                <w:b w:val="0"/>
                <w:i w:val="0"/>
                <w:sz w:val="15"/>
                <w:highlight w:val="yellow"/>
              </w:rPr>
              <w:t>[Student: replace with a photo from the source, cited MLA 9]</w:t>
            </w:r>
          </w:p>
        </w:tc>
      </w:tr>
    </w:tbl>
    <w:p>
      <w:pPr>
        <w:spacing w:after="100" w:before="200"/>
      </w:pPr>
      <w:r>
        <w:rPr>
          <w:b/>
          <w:bCs/>
          <w:sz w:val="20"/>
          <w:szCs w:val="20"/>
        </w:rPr>
        <w:t xml:space="preserve">ACCESS FM analysis — analyse at least 4 strands per product with specific, cited evidence: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900"/>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ACCESS FM</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483"/>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Aesthetics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App with a food-scanner interface; the listing does not describe the look beyond that.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Small device with a capsule on top; a smile or wheat symbol shows the result.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Purple band with a printed allergy alert.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Free to download; Fig+ costs about $5.99–7.49 a month or $34.99–69.99 a year.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Price is not stated in the article.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$47.25 for 250 bands, about $0.19 each.</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Customer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Anyone with a smartphone who has an allergy or special diet.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Someone who needs to test a food for gluten; capsule must be opened by the user.</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People at risk, adult or child; needs someone to fit and read it.</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Environment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Needs a charged phone; the page does not mention connection needs.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Uses a disposable capsule for each test.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Single-use tri-laminate band; no power needed.</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Nothing extra to carry; it runs on a phone.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portable device; the article gives no size.</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A band 10 in long.</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Safety</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Rates ingredients using dietitians' information. Bystander view: only the user sees the result.</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Detects gluten at 20 ppm. Bystander view: a food is only tested when someone chooses to.</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Visible warning to staff and others, but it does not stop contact with the allergen.</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Function</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Scans barcodes and checks ingredients against more than 2,800 allergy and diet options.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Tests a sample for gluten in a few minutes; peanut and milk were still in development in 2016.</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Marks the wearer as having an allergy so other people can notice.</w:t>
            </w:r>
          </w:p>
        </w:tc>
      </w:tr>
      <w:tr>
        <w:tc>
          <w:tcPr>
            <w:tcW w:type="dxa" w:w="1900"/>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Software; no physical materials.</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Materials are not stated.</w:t>
            </w:r>
          </w:p>
        </w:tc>
        <w:tc>
          <w:tcPr>
            <w:tcW w:type="dxa" w:w="2483"/>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6"/>
              </w:rPr>
              <w:t>Tri-laminate, as listed.</w:t>
            </w:r>
          </w:p>
        </w:tc>
      </w:tr>
    </w:tbl>
    <w:p>
      <w:pPr>
        <w:spacing w:after="100" w:before="200"/>
      </w:pPr>
      <w:r>
        <w:rPr>
          <w:b/>
          <w:bCs/>
          <w:sz w:val="20"/>
          <w:szCs w:val="20"/>
        </w:rPr>
        <w:t xml:space="preserve">Pros &amp; Cons: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 </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1</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2</w:t>
            </w:r>
          </w:p>
        </w:tc>
        <w:tc>
          <w:tcPr>
            <w:tcW w:type="dxa" w:w="2337"/>
            <w:tcBorders>
              <w:top w:val="single" w:color="BFBFBF" w:sz="4"/>
              <w:left w:val="single" w:color="BFBFBF" w:sz="4"/>
              <w:bottom w:val="single" w:color="BFBFBF" w:sz="4"/>
              <w:right w:val="single" w:color="BFBFBF" w:sz="4"/>
            </w:tcBorders>
            <w:shd w:fill="44546A" w:color="auto" w:val="clear"/>
            <w:tcMar>
              <w:top w:type="dxa" w:w="80"/>
              <w:left w:type="dxa" w:w="100"/>
              <w:bottom w:type="dxa" w:w="80"/>
              <w:right w:type="dxa" w:w="100"/>
            </w:tcMar>
            <w:vAlign w:val="center"/>
          </w:tcPr>
          <w:p>
            <w:r>
              <w:rPr>
                <w:b/>
                <w:bCs/>
                <w:color w:val="FFFFFF"/>
                <w:sz w:val="18"/>
                <w:szCs w:val="18"/>
              </w:rPr>
              <w:t xml:space="preserve">Product 3</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Pro</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Fast to use, free and covers many allergies and diets.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Tests the actual food, not only its label, in a few minutes.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Very cheap and makes the risk visible to everyone nearby.</w:t>
            </w:r>
          </w:p>
        </w:tc>
      </w:tr>
      <w:tr>
        <w:tc>
          <w:tcPr>
            <w:tcW w:type="dxa" w:w="2337"/>
            <w:tcBorders>
              <w:top w:val="single" w:color="BFBFBF" w:sz="4"/>
              <w:left w:val="single" w:color="BFBFBF" w:sz="4"/>
              <w:bottom w:val="single" w:color="BFBFBF" w:sz="4"/>
              <w:right w:val="single" w:color="BFBFBF" w:sz="4"/>
            </w:tcBorders>
            <w:shd w:fill="EDEDED" w:color="auto" w:val="clear"/>
            <w:tcMar>
              <w:top w:type="dxa" w:w="100"/>
              <w:left w:type="dxa" w:w="100"/>
              <w:bottom w:type="dxa" w:w="100"/>
              <w:right w:type="dxa" w:w="100"/>
            </w:tcMar>
            <w:vAlign w:val="center"/>
          </w:tcPr>
          <w:p>
            <w:r>
              <w:rPr>
                <w:b/>
                <w:bCs/>
                <w:sz w:val="18"/>
                <w:szCs w:val="18"/>
              </w:rPr>
              <w:t xml:space="preserve">Con</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Only works for products with a barcode and can only read what the label says.</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Tests for gluten only, needs a capsule for every test and the article is from 2016.</w:t>
            </w:r>
          </w:p>
        </w:tc>
        <w:tc>
          <w:tcPr>
            <w:tcW w:type="dxa" w:w="2337"/>
            <w:tcBorders>
              <w:top w:val="single" w:color="BFBFBF" w:sz="4"/>
              <w:left w:val="single" w:color="BFBFBF" w:sz="4"/>
              <w:bottom w:val="single" w:color="BFBFBF" w:sz="4"/>
              <w:right w:val="single" w:color="BFBFBF" w:sz="4"/>
            </w:tcBorders>
            <w:tcMar>
              <w:top w:type="dxa" w:w="120"/>
              <w:left w:type="dxa" w:w="100"/>
              <w:bottom w:type="dxa" w:w="120"/>
              <w:right w:type="dxa" w:w="100"/>
            </w:tcMar>
          </w:tcPr>
          <w:p>
            <w:pPr>
              <w:spacing w:after="40"/>
            </w:pPr>
            <w:r>
              <w:rPr>
                <w:b w:val="0"/>
                <w:i w:val="0"/>
                <w:sz w:val="17"/>
              </w:rPr>
              <w:t>Does not prevent a reaction or say which allergen, and only works if worn.</w:t>
            </w:r>
          </w:p>
        </w:tc>
      </w:tr>
    </w:tbl>
    <w:p>
      <w:pPr>
        <w:spacing w:after="100" w:before="100"/>
      </w:pPr>
      <w:r>
        <w:rPr>
          <w:i/>
          <w:iCs/>
          <w:color w:val="666666"/>
          <w:sz w:val="18"/>
          <w:szCs w:val="18"/>
        </w:rPr>
        <w:t xml:space="preserve">Extension: analyse all 8 ACCESS FM strands per product, and evaluate each from the pedestrian/bystander's perspective, not just the buyer's.</w:t>
      </w:r>
    </w:p>
    <w:p>
      <w:r>
        <w:br w:type="page"/>
      </w:r>
    </w:p>
    <w:p>
      <w:pPr>
        <w:shd w:fill="44546A" w:color="auto" w:val="clear"/>
        <w:spacing w:after="60" w:before="400"/>
      </w:pPr>
      <w:r>
        <w:rPr>
          <w:b/>
          <w:bCs/>
          <w:color w:val="FFFFFF"/>
          <w:sz w:val="28"/>
          <w:szCs w:val="28"/>
        </w:rPr>
        <w:t xml:space="preserve">  A4  </w:t>
      </w:r>
      <w:r>
        <w:rPr>
          <w:b/>
          <w:bCs/>
          <w:color w:val="FFFFFF"/>
          <w:sz w:val="28"/>
          <w:szCs w:val="28"/>
        </w:rPr>
        <w:t xml:space="preserve">  Design Brief + Appendix A</w:t>
      </w:r>
    </w:p>
    <w:p>
      <w:pPr>
        <w:spacing w:after="200"/>
      </w:pPr>
      <w:r>
        <w:rPr>
          <w:i/>
          <w:iCs/>
          <w:color w:val="44546A"/>
          <w:sz w:val="20"/>
          <w:szCs w:val="20"/>
        </w:rPr>
        <w:t xml:space="preserve">Bring A1–A3 together into one design brief, then compile your Appendix A.</w:t>
      </w:r>
    </w:p>
    <w:p>
      <w:pPr>
        <w:pBdr>
          <w:top w:val="single" w:color="2E75B6" w:sz="4"/>
          <w:bottom w:val="single" w:color="2E75B6" w:sz="4"/>
          <w:left w:val="single" w:color="2E75B6" w:sz="4"/>
          <w:right w:val="single" w:color="2E75B6" w:sz="4"/>
        </w:pBdr>
        <w:shd w:fill="EAF3FA" w:color="auto" w:val="clear"/>
        <w:spacing w:after="200"/>
      </w:pPr>
      <w:r>
        <w:rPr>
          <w:sz w:val="20"/>
          <w:szCs w:val="20"/>
        </w:rPr>
        <w:t xml:space="preserve">📄  Write your design brief in PARAGRAPH FORM. Your brief must:</w:t>
      </w:r>
    </w:p>
    <w:p>
      <w:pPr>
        <w:spacing w:after="40" w:before="120"/>
      </w:pPr>
      <w:r>
        <w:rPr>
          <w:sz w:val="20"/>
          <w:szCs w:val="20"/>
        </w:rPr>
        <w:t xml:space="preserve">• Restate the client's need (from A1)</w:t>
      </w:r>
    </w:p>
    <w:p>
      <w:pPr>
        <w:spacing w:after="40" w:before="120"/>
      </w:pPr>
      <w:r>
        <w:rPr>
          <w:sz w:val="20"/>
          <w:szCs w:val="20"/>
        </w:rPr>
        <w:t xml:space="preserve">• Reference your research with sources (from A2)</w:t>
      </w:r>
    </w:p>
    <w:p>
      <w:pPr>
        <w:spacing w:after="40" w:before="120"/>
      </w:pPr>
      <w:r>
        <w:rPr>
          <w:sz w:val="20"/>
          <w:szCs w:val="20"/>
        </w:rPr>
        <w:t xml:space="preserve">• Summarise your A3 existing-products analysis for inspiration</w:t>
      </w:r>
    </w:p>
    <w:p>
      <w:pPr>
        <w:spacing w:after="40" w:before="120"/>
      </w:pPr>
      <w:r>
        <w:rPr>
          <w:sz w:val="20"/>
          <w:szCs w:val="20"/>
        </w:rPr>
        <w:t xml:space="preserve">• State your design intent, justified by the evidence you gathered</w:t>
      </w:r>
    </w:p>
    <w:p>
      <w:pPr>
        <w:spacing w:after="80" w:before="160"/>
      </w:pPr>
      <w:r>
        <w:rPr>
          <w:b/>
          <w:bCs/>
          <w:sz w:val="20"/>
          <w:szCs w:val="20"/>
        </w:rPr>
        <w:t xml:space="preserve">Write your design brief here (paragraph form):</w:t>
      </w:r>
    </w:p>
    <w:p>
      <w:pPr>
        <w:pBdr>
          <w:bottom w:val="single" w:color="BFBFBF" w:sz="4" w:space="1"/>
        </w:pBdr>
        <w:spacing w:after="260"/>
      </w:pPr>
      <w:r>
        <w:rPr>
          <w:b w:val="0"/>
          <w:i w:val="0"/>
          <w:sz w:val="22"/>
        </w:rPr>
        <w:t>My client, the head of the clinic at a school in Dubai, needs students with food allergies to be protected at school, and any reaction to be recognised and treated quickly. A survey of 33 UAE schools found that 16–18% of allergic schoolchildren react during school hours, that most schools lacked EpiPens, and that only 2 of 14 anaphylactic episodes were treated with an EpiPen (Appendix A, Source 2). In Irish schools, 50% of reactions involved human error or failure to follow procedure (Appendix A, Source 1).</w:t>
      </w:r>
    </w:p>
    <w:p>
      <w:pPr>
        <w:pBdr>
          <w:bottom w:val="single" w:color="BFBFBF" w:sz="4" w:space="1"/>
        </w:pBdr>
        <w:spacing w:after="260"/>
      </w:pPr>
      <w:r>
        <w:rPr>
          <w:b w:val="0"/>
          <w:i w:val="0"/>
          <w:sz w:val="22"/>
        </w:rPr>
        <w:t>My research shows that reactions often follow a gap in information or procedure: an allergen that was not recognised, food that was shared, or a rule that was not followed (Appendix A, Source 1). My debatable questions led me to conclude that checking food, identifying the person and training people each close a different gap. My challenged assumption was that allergy is too rare to matter; the UAE survey says at least 8% of schoolchildren are allergic, so a school should expect many cases. That survey is old and partial, so I will gather my own evidence with a checklist and a survey, recording no names or medical details (Appendix A, Sources 6 and 7).</w:t>
      </w:r>
    </w:p>
    <w:p>
      <w:pPr>
        <w:pBdr>
          <w:bottom w:val="single" w:color="BFBFBF" w:sz="4" w:space="1"/>
        </w:pBdr>
        <w:spacing w:after="260"/>
      </w:pPr>
      <w:r>
        <w:rPr>
          <w:b w:val="0"/>
          <w:i w:val="0"/>
          <w:sz w:val="22"/>
        </w:rPr>
        <w:t>I analysed three very different existing solutions. A phone app scans barcodes and checks the ingredients against a profile, but it relies on the label and a barcode (Appendix A, Source 3). A portable tester checks a sample for gluten in a few minutes, but it tests gluten only and needs a capsule each time (Appendix A, Source 4). An allergy alert wristband is very cheap and makes the risk visible, but it does not prevent contact with an allergen (Appendix A, Source 5). They give me three ideas for inspiration: check the information, check the food itself, and make the person's risk visible to others.</w:t>
      </w:r>
    </w:p>
    <w:p>
      <w:pPr>
        <w:pBdr>
          <w:bottom w:val="single" w:color="BFBFBF" w:sz="4" w:space="1"/>
        </w:pBdr>
        <w:spacing w:after="260"/>
      </w:pPr>
      <w:r>
        <w:rPr>
          <w:b w:val="0"/>
          <w:i w:val="0"/>
          <w:sz w:val="22"/>
        </w:rPr>
        <w:t>My design intent is therefore to create a solution that helps to protect students with food allergies at school, by reducing the chance of exposure or by speeding up recognition and response if a reaction happens. It must be reliable, affordable, simple enough for students and staff to use in a busy school, and respectful of every student's privacy. I have deliberately not fixed what form it will take. That decision will be made in Criterion B, after I analyse my own checklist and survey against the evidence in Appendix A.</w:t>
      </w:r>
    </w:p>
    <w:p>
      <w:pPr>
        <w:spacing w:after="200" w:before="100"/>
      </w:pPr>
      <w:r>
        <w:rPr>
          <w:i/>
          <w:iCs/>
          <w:color w:val="666666"/>
          <w:sz w:val="18"/>
          <w:szCs w:val="18"/>
        </w:rPr>
        <w:t xml:space="preserve">Target: 350–600 words. Extension: explicitly reference Appendix A within your brief (e.g. "see Appendix A, Source 2").</w:t>
      </w:r>
    </w:p>
    <w:p>
      <w:pPr>
        <w:shd w:fill="44546A" w:color="auto" w:val="clear"/>
        <w:spacing w:after="100" w:before="100"/>
      </w:pPr>
      <w:r>
        <w:rPr>
          <w:b/>
          <w:bCs/>
          <w:color w:val="FFFFFF"/>
          <w:sz w:val="22"/>
          <w:szCs w:val="22"/>
        </w:rPr>
        <w:t xml:space="preserve">  APPENDIX A</w:t>
      </w:r>
    </w:p>
    <w:p>
      <w:pPr>
        <w:spacing w:after="100"/>
      </w:pPr>
      <w:r>
        <w:rPr>
          <w:sz w:val="20"/>
          <w:szCs w:val="20"/>
        </w:rPr>
        <w:t xml:space="preserve">Paste in your full A2 research notes and sources here (Appendix A). Reference this appendix explicitly within your design brief above.</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432"/>
        <w:gridCol w:w="3744"/>
        <w:gridCol w:w="3888"/>
        <w:gridCol w:w="2304"/>
      </w:tblGrid>
      <w:tr>
        <w:tc>
          <w:tcPr>
            <w:tcW w:type="dxa" w:w="432"/>
            <w:shd w:val="clear" w:color="auto" w:fill="44546A"/>
          </w:tcPr>
          <w:p>
            <w:pPr>
              <w:spacing w:after="40"/>
            </w:pPr>
            <w:r>
              <w:rPr>
                <w:b/>
                <w:color w:val="FFFFFF"/>
                <w:sz w:val="16"/>
              </w:rPr>
              <w:t>#</w:t>
            </w:r>
          </w:p>
        </w:tc>
        <w:tc>
          <w:tcPr>
            <w:tcW w:type="dxa" w:w="3744"/>
            <w:shd w:val="clear" w:color="auto" w:fill="44546A"/>
          </w:tcPr>
          <w:p>
            <w:pPr>
              <w:spacing w:after="40"/>
            </w:pPr>
            <w:r>
              <w:rPr>
                <w:b/>
                <w:color w:val="FFFFFF"/>
                <w:sz w:val="16"/>
              </w:rPr>
              <w:t>Source (MLA 9)</w:t>
            </w:r>
          </w:p>
        </w:tc>
        <w:tc>
          <w:tcPr>
            <w:tcW w:type="dxa" w:w="3888"/>
            <w:shd w:val="clear" w:color="auto" w:fill="44546A"/>
          </w:tcPr>
          <w:p>
            <w:pPr>
              <w:spacing w:after="40"/>
            </w:pPr>
            <w:r>
              <w:rPr>
                <w:b/>
                <w:color w:val="FFFFFF"/>
                <w:sz w:val="16"/>
              </w:rPr>
              <w:t>Key notes</w:t>
            </w:r>
          </w:p>
        </w:tc>
        <w:tc>
          <w:tcPr>
            <w:tcW w:type="dxa" w:w="2304"/>
            <w:shd w:val="clear" w:color="auto" w:fill="44546A"/>
          </w:tcPr>
          <w:p>
            <w:pPr>
              <w:spacing w:after="40"/>
            </w:pPr>
            <w:r>
              <w:rPr>
                <w:b/>
                <w:color w:val="FFFFFF"/>
                <w:sz w:val="16"/>
              </w:rPr>
              <w:t>How I used it</w:t>
            </w:r>
          </w:p>
        </w:tc>
      </w:tr>
      <w:tr>
        <w:tc>
          <w:tcPr>
            <w:tcW w:type="dxa" w:w="432"/>
          </w:tcPr>
          <w:p>
            <w:pPr>
              <w:spacing w:after="40"/>
            </w:pPr>
            <w:r>
              <w:rPr>
                <w:sz w:val="16"/>
              </w:rPr>
              <w:t>1</w:t>
            </w:r>
          </w:p>
        </w:tc>
        <w:tc>
          <w:tcPr>
            <w:tcW w:type="dxa" w:w="3744"/>
          </w:tcPr>
          <w:p>
            <w:pPr>
              <w:spacing w:after="40"/>
            </w:pPr>
            <w:r>
              <w:rPr>
                <w:sz w:val="16"/>
              </w:rPr>
              <w:t>Crealey, Miranda, and Aideen Byrne. “Factors Influencing Accidental Food Allergic Reactions in Schools and Preschools.” Irish Journal of Medical Science, vol. 193, no. 1, 2024, pp. 313–19, pmc.ncbi.nlm.nih.gov/articles/PMC10808491. Accessed 21 Oct. 2026.</w:t>
            </w:r>
          </w:p>
        </w:tc>
        <w:tc>
          <w:tcPr>
            <w:tcW w:type="dxa" w:w="3888"/>
          </w:tcPr>
          <w:p>
            <w:pPr>
              <w:spacing w:after="40"/>
            </w:pPr>
            <w:r>
              <w:rPr>
                <w:sz w:val="16"/>
              </w:rPr>
              <w:t>Irish study: about 5% of young children have food allergy; in schools, 50% of reactions involved human error or failure to follow procedure, 28% an unrecognised allergen, about three-quarters involved food sharing; no school staff gave adrenaline in the anaphylactic cases. Irish data.</w:t>
            </w:r>
          </w:p>
        </w:tc>
        <w:tc>
          <w:tcPr>
            <w:tcW w:type="dxa" w:w="2304"/>
          </w:tcPr>
          <w:p>
            <w:pPr>
              <w:spacing w:after="40"/>
            </w:pPr>
            <w:r>
              <w:rPr>
                <w:sz w:val="16"/>
              </w:rPr>
              <w:t>A1; A2 Q2, Q3 and Q4; A4.</w:t>
            </w:r>
          </w:p>
        </w:tc>
      </w:tr>
      <w:tr>
        <w:tc>
          <w:tcPr>
            <w:tcW w:type="dxa" w:w="432"/>
          </w:tcPr>
          <w:p>
            <w:pPr>
              <w:spacing w:after="40"/>
            </w:pPr>
            <w:r>
              <w:rPr>
                <w:sz w:val="16"/>
              </w:rPr>
              <w:t>2</w:t>
            </w:r>
          </w:p>
        </w:tc>
        <w:tc>
          <w:tcPr>
            <w:tcW w:type="dxa" w:w="3744"/>
          </w:tcPr>
          <w:p>
            <w:pPr>
              <w:spacing w:after="40"/>
            </w:pPr>
            <w:r>
              <w:rPr>
                <w:sz w:val="16"/>
              </w:rPr>
              <w:t>Chaudhary, Suchitra Bajpai. “UAE Schools Ill-Equipped to Deal with Food Allergy.” Gulf News, 1 Nov. 2018, gulfnews.com/amp/story/uae%2Fhealth%2Fuae-schools-ill-equipped-to-deal-with-food-allergy-1.2013481. Accessed 21 Oct. 2026.</w:t>
            </w:r>
          </w:p>
        </w:tc>
        <w:tc>
          <w:tcPr>
            <w:tcW w:type="dxa" w:w="3888"/>
          </w:tcPr>
          <w:p>
            <w:pPr>
              <w:spacing w:after="40"/>
            </w:pPr>
            <w:r>
              <w:rPr>
                <w:sz w:val="16"/>
              </w:rPr>
              <w:t>Sharjah University Hospital survey of 33 schools (80 approached); 16–18% of allergic children react during school hours; most schools lack EpiPens; 14 anaphylactic episodes (12 antihistamines, 2 EpiPen); at least 8% of schoolchildren have food allergies. Article from 2018.</w:t>
            </w:r>
          </w:p>
        </w:tc>
        <w:tc>
          <w:tcPr>
            <w:tcW w:type="dxa" w:w="2304"/>
          </w:tcPr>
          <w:p>
            <w:pPr>
              <w:spacing w:after="40"/>
            </w:pPr>
            <w:r>
              <w:rPr>
                <w:sz w:val="16"/>
              </w:rPr>
              <w:t>A1; A2 Q1 and Q5; A4.</w:t>
            </w:r>
          </w:p>
        </w:tc>
      </w:tr>
      <w:tr>
        <w:tc>
          <w:tcPr>
            <w:tcW w:type="dxa" w:w="432"/>
          </w:tcPr>
          <w:p>
            <w:pPr>
              <w:spacing w:after="40"/>
            </w:pPr>
            <w:r>
              <w:rPr>
                <w:sz w:val="16"/>
              </w:rPr>
              <w:t>3</w:t>
            </w:r>
          </w:p>
        </w:tc>
        <w:tc>
          <w:tcPr>
            <w:tcW w:type="dxa" w:w="3744"/>
          </w:tcPr>
          <w:p>
            <w:pPr>
              <w:spacing w:after="40"/>
            </w:pPr>
            <w:r>
              <w:rPr>
                <w:sz w:val="16"/>
              </w:rPr>
              <w:t>“Fig: Food Scanner &amp; Recipes.” App Store, Food is Good, Inc., apps.apple.com/app/id1564434726. Accessed 21 Oct. 2026.</w:t>
            </w:r>
          </w:p>
        </w:tc>
        <w:tc>
          <w:tcPr>
            <w:tcW w:type="dxa" w:w="3888"/>
          </w:tcPr>
          <w:p>
            <w:pPr>
              <w:spacing w:after="40"/>
            </w:pPr>
            <w:r>
              <w:rPr>
                <w:sz w:val="16"/>
              </w:rPr>
              <w:t>Free to download; scans barcodes and checks ingredients against more than 2,800 allergy and diet options; Fig+ subscription from about $5.99–7.49 a month or $34.99–69.99 a year; ratings from dietitians.</w:t>
            </w:r>
          </w:p>
        </w:tc>
        <w:tc>
          <w:tcPr>
            <w:tcW w:type="dxa" w:w="2304"/>
          </w:tcPr>
          <w:p>
            <w:pPr>
              <w:spacing w:after="40"/>
            </w:pPr>
            <w:r>
              <w:rPr>
                <w:sz w:val="16"/>
              </w:rPr>
              <w:t>A2 Q3 and Q4; A3 Product 1; A4.</w:t>
            </w:r>
          </w:p>
        </w:tc>
      </w:tr>
      <w:tr>
        <w:tc>
          <w:tcPr>
            <w:tcW w:type="dxa" w:w="432"/>
          </w:tcPr>
          <w:p>
            <w:pPr>
              <w:spacing w:after="40"/>
            </w:pPr>
            <w:r>
              <w:rPr>
                <w:sz w:val="16"/>
              </w:rPr>
              <w:t>4</w:t>
            </w:r>
          </w:p>
        </w:tc>
        <w:tc>
          <w:tcPr>
            <w:tcW w:type="dxa" w:w="3744"/>
          </w:tcPr>
          <w:p>
            <w:pPr>
              <w:spacing w:after="40"/>
            </w:pPr>
            <w:r>
              <w:rPr>
                <w:sz w:val="16"/>
              </w:rPr>
              <w:t>Manuell, Roy. “Nima: The Portable Allergen-Detection Phenomenon.” New Food Magazine, 22 Sep. 2016, www.newfoodmagazine.com/?p=26982. Accessed 21 Oct. 2026.</w:t>
            </w:r>
          </w:p>
        </w:tc>
        <w:tc>
          <w:tcPr>
            <w:tcW w:type="dxa" w:w="3888"/>
          </w:tcPr>
          <w:p>
            <w:pPr>
              <w:spacing w:after="40"/>
            </w:pPr>
            <w:r>
              <w:rPr>
                <w:sz w:val="16"/>
              </w:rPr>
              <w:t>Disposable capsule; results in a few minutes; detects gluten at 20 ppm; smile means below 20 ppm and wheat symbol means gluten detected; other allergens in development. Article from 2016.</w:t>
            </w:r>
          </w:p>
        </w:tc>
        <w:tc>
          <w:tcPr>
            <w:tcW w:type="dxa" w:w="2304"/>
          </w:tcPr>
          <w:p>
            <w:pPr>
              <w:spacing w:after="40"/>
            </w:pPr>
            <w:r>
              <w:rPr>
                <w:sz w:val="16"/>
              </w:rPr>
              <w:t>A2 Q3 and Q4; A3 Product 2; A4.</w:t>
            </w:r>
          </w:p>
        </w:tc>
      </w:tr>
      <w:tr>
        <w:tc>
          <w:tcPr>
            <w:tcW w:type="dxa" w:w="432"/>
          </w:tcPr>
          <w:p>
            <w:pPr>
              <w:spacing w:after="40"/>
            </w:pPr>
            <w:r>
              <w:rPr>
                <w:sz w:val="16"/>
              </w:rPr>
              <w:t>5</w:t>
            </w:r>
          </w:p>
        </w:tc>
        <w:tc>
          <w:tcPr>
            <w:tcW w:type="dxa" w:w="3744"/>
          </w:tcPr>
          <w:p>
            <w:pPr>
              <w:spacing w:after="40"/>
            </w:pPr>
            <w:r>
              <w:rPr>
                <w:sz w:val="16"/>
              </w:rPr>
              <w:t>“Wristband, Adult/Pediatric, 10”, Tri-Laminate, Allergy Alert, Purple, 250/Pack (3107AA).” LAC, lac.us/product/wristband-adult-pediatric-10-tri-laminate-3107aa. Accessed 21 Oct. 2026.</w:t>
            </w:r>
          </w:p>
        </w:tc>
        <w:tc>
          <w:tcPr>
            <w:tcW w:type="dxa" w:w="3888"/>
          </w:tcPr>
          <w:p>
            <w:pPr>
              <w:spacing w:after="40"/>
            </w:pPr>
            <w:r>
              <w:rPr>
                <w:sz w:val="16"/>
              </w:rPr>
              <w:t>Purple tri-laminate allergy alert wristband; 10 inches; adult and pediatric; $47.25 for 250.</w:t>
            </w:r>
          </w:p>
        </w:tc>
        <w:tc>
          <w:tcPr>
            <w:tcW w:type="dxa" w:w="2304"/>
          </w:tcPr>
          <w:p>
            <w:pPr>
              <w:spacing w:after="40"/>
            </w:pPr>
            <w:r>
              <w:rPr>
                <w:sz w:val="16"/>
              </w:rPr>
              <w:t>A2 Q3 and Q4; A3 Product 3; A4.</w:t>
            </w:r>
          </w:p>
        </w:tc>
      </w:tr>
      <w:tr>
        <w:tc>
          <w:tcPr>
            <w:tcW w:type="dxa" w:w="432"/>
          </w:tcPr>
          <w:p>
            <w:pPr>
              <w:spacing w:after="40"/>
            </w:pPr>
            <w:r>
              <w:rPr>
                <w:sz w:val="16"/>
              </w:rPr>
              <w:t>6</w:t>
            </w:r>
          </w:p>
        </w:tc>
        <w:tc>
          <w:tcPr>
            <w:tcW w:type="dxa" w:w="3744"/>
          </w:tcPr>
          <w:p>
            <w:pPr>
              <w:spacing w:after="40"/>
            </w:pPr>
            <w:r>
              <w:rPr>
                <w:sz w:val="16"/>
              </w:rPr>
              <w:t>Own primary research: observation sheet (below).</w:t>
            </w:r>
          </w:p>
        </w:tc>
        <w:tc>
          <w:tcPr>
            <w:tcW w:type="dxa" w:w="3888"/>
          </w:tcPr>
          <w:p>
            <w:pPr>
              <w:spacing w:after="40"/>
            </w:pPr>
            <w:r>
              <w:rPr>
                <w:sz w:val="16"/>
              </w:rPr>
              <w:t>Student completes the checklist with the school's permission and records no student names or medical details.</w:t>
            </w:r>
          </w:p>
        </w:tc>
        <w:tc>
          <w:tcPr>
            <w:tcW w:type="dxa" w:w="2304"/>
          </w:tcPr>
          <w:p>
            <w:pPr>
              <w:spacing w:after="40"/>
            </w:pPr>
            <w:r>
              <w:rPr>
                <w:sz w:val="16"/>
              </w:rPr>
              <w:t>A2 primary question; A4.</w:t>
            </w:r>
          </w:p>
        </w:tc>
      </w:tr>
      <w:tr>
        <w:tc>
          <w:tcPr>
            <w:tcW w:type="dxa" w:w="432"/>
          </w:tcPr>
          <w:p>
            <w:pPr>
              <w:spacing w:after="40"/>
            </w:pPr>
            <w:r>
              <w:rPr>
                <w:sz w:val="16"/>
              </w:rPr>
              <w:t>7</w:t>
            </w:r>
          </w:p>
        </w:tc>
        <w:tc>
          <w:tcPr>
            <w:tcW w:type="dxa" w:w="3744"/>
          </w:tcPr>
          <w:p>
            <w:pPr>
              <w:spacing w:after="40"/>
            </w:pPr>
            <w:r>
              <w:rPr>
                <w:sz w:val="16"/>
              </w:rPr>
              <w:t>Own primary research: short student survey (below).</w:t>
            </w:r>
          </w:p>
        </w:tc>
        <w:tc>
          <w:tcPr>
            <w:tcW w:type="dxa" w:w="3888"/>
          </w:tcPr>
          <w:p>
            <w:pPr>
              <w:spacing w:after="40"/>
            </w:pPr>
            <w:r>
              <w:rPr>
                <w:sz w:val="16"/>
              </w:rPr>
              <w:t>Student asks at least 20 people and records the ratings.</w:t>
            </w:r>
          </w:p>
        </w:tc>
        <w:tc>
          <w:tcPr>
            <w:tcW w:type="dxa" w:w="2304"/>
          </w:tcPr>
          <w:p>
            <w:pPr>
              <w:spacing w:after="40"/>
            </w:pPr>
            <w:r>
              <w:rPr>
                <w:sz w:val="16"/>
              </w:rPr>
              <w:t>A2 primary question; A4.</w:t>
            </w:r>
          </w:p>
        </w:tc>
      </w:tr>
    </w:tbl>
    <w:p>
      <w:pPr>
        <w:keepNext/>
        <w:spacing w:after="100"/>
      </w:pPr>
      <w:r>
        <w:rPr>
          <w:b/>
          <w:i w:val="0"/>
          <w:sz w:val="18"/>
        </w:rPr>
        <w:t>Source 6: allergy-information checklist (blank instrument;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1728"/>
        <w:gridCol w:w="1728"/>
        <w:gridCol w:w="1728"/>
        <w:gridCol w:w="1728"/>
        <w:gridCol w:w="1440"/>
        <w:gridCol w:w="1440"/>
      </w:tblGrid>
      <w:tr>
        <w:tc>
          <w:tcPr>
            <w:tcW w:type="dxa" w:w="1728"/>
            <w:shd w:val="clear" w:color="auto" w:fill="44546A"/>
          </w:tcPr>
          <w:p>
            <w:pPr>
              <w:keepNext/>
              <w:spacing w:after="40"/>
            </w:pPr>
            <w:r>
              <w:rPr>
                <w:b/>
                <w:color w:val="FFFFFF"/>
                <w:sz w:val="16"/>
              </w:rPr>
              <w:t>Area</w:t>
            </w:r>
          </w:p>
        </w:tc>
        <w:tc>
          <w:tcPr>
            <w:tcW w:type="dxa" w:w="1728"/>
            <w:shd w:val="clear" w:color="auto" w:fill="44546A"/>
          </w:tcPr>
          <w:p>
            <w:pPr>
              <w:keepNext/>
              <w:spacing w:after="40"/>
            </w:pPr>
            <w:r>
              <w:rPr>
                <w:b/>
                <w:color w:val="FFFFFF"/>
                <w:sz w:val="16"/>
              </w:rPr>
              <w:t>Allergy information visible (Y/N)</w:t>
            </w:r>
          </w:p>
        </w:tc>
        <w:tc>
          <w:tcPr>
            <w:tcW w:type="dxa" w:w="1728"/>
            <w:shd w:val="clear" w:color="auto" w:fill="44546A"/>
          </w:tcPr>
          <w:p>
            <w:pPr>
              <w:keepNext/>
              <w:spacing w:after="40"/>
            </w:pPr>
            <w:r>
              <w:rPr>
                <w:b/>
                <w:color w:val="FFFFFF"/>
                <w:sz w:val="16"/>
              </w:rPr>
              <w:t>Ingredient labels available (Y/N)</w:t>
            </w:r>
          </w:p>
        </w:tc>
        <w:tc>
          <w:tcPr>
            <w:tcW w:type="dxa" w:w="1728"/>
            <w:shd w:val="clear" w:color="auto" w:fill="44546A"/>
          </w:tcPr>
          <w:p>
            <w:pPr>
              <w:keepNext/>
              <w:spacing w:after="40"/>
            </w:pPr>
            <w:r>
              <w:rPr>
                <w:b/>
                <w:color w:val="FFFFFF"/>
                <w:sz w:val="16"/>
              </w:rPr>
              <w:t>Emergency medicine easy to find (Y/N)</w:t>
            </w:r>
          </w:p>
        </w:tc>
        <w:tc>
          <w:tcPr>
            <w:tcW w:type="dxa" w:w="1440"/>
            <w:shd w:val="clear" w:color="auto" w:fill="44546A"/>
          </w:tcPr>
          <w:p>
            <w:pPr>
              <w:keepNext/>
              <w:spacing w:after="40"/>
            </w:pPr>
            <w:r>
              <w:rPr>
                <w:b/>
                <w:color w:val="FFFFFF"/>
                <w:sz w:val="16"/>
              </w:rPr>
              <w:t>Food sharing seen (Y/N)</w:t>
            </w:r>
          </w:p>
        </w:tc>
        <w:tc>
          <w:tcPr>
            <w:tcW w:type="dxa" w:w="1440"/>
            <w:shd w:val="clear" w:color="auto" w:fill="44546A"/>
          </w:tcPr>
          <w:p>
            <w:pPr>
              <w:keepNext/>
              <w:spacing w:after="40"/>
            </w:pPr>
            <w:r>
              <w:rPr>
                <w:b/>
                <w:color w:val="FFFFFF"/>
                <w:sz w:val="16"/>
              </w:rPr>
              <w:t>Notes</w:t>
            </w:r>
          </w:p>
        </w:tc>
      </w:tr>
      <w:tr>
        <w:tc>
          <w:tcPr>
            <w:tcW w:type="dxa" w:w="1728"/>
          </w:tcPr>
          <w:p>
            <w:pPr>
              <w:keepNext/>
              <w:spacing w:after="40"/>
            </w:pPr>
            <w:r>
              <w:rPr>
                <w:sz w:val="16"/>
              </w:rPr>
              <w:t>Canteen serving area</w:t>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Classroom snack area</w:t>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Clinic or medical room</w:t>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r>
      <w:tr>
        <w:tc>
          <w:tcPr>
            <w:tcW w:type="dxa" w:w="1728"/>
          </w:tcPr>
          <w:p>
            <w:pPr>
              <w:keepNext/>
              <w:spacing w:after="40"/>
            </w:pPr>
            <w:r>
              <w:rPr>
                <w:sz w:val="16"/>
              </w:rPr>
              <w:t>Sports or trip area</w:t>
            </w:r>
          </w:p>
        </w:tc>
        <w:tc>
          <w:tcPr>
            <w:tcW w:type="dxa" w:w="1728"/>
          </w:tcPr>
          <w:p>
            <w:pPr>
              <w:keepNext/>
              <w:spacing w:after="40"/>
            </w:pPr>
            <w:r>
              <w:rPr>
                <w:sz w:val="16"/>
              </w:rPr>
            </w:r>
          </w:p>
        </w:tc>
        <w:tc>
          <w:tcPr>
            <w:tcW w:type="dxa" w:w="1728"/>
          </w:tcPr>
          <w:p>
            <w:pPr>
              <w:keepNext/>
              <w:spacing w:after="40"/>
            </w:pPr>
            <w:r>
              <w:rPr>
                <w:sz w:val="16"/>
              </w:rPr>
            </w:r>
          </w:p>
        </w:tc>
        <w:tc>
          <w:tcPr>
            <w:tcW w:type="dxa" w:w="1728"/>
          </w:tcPr>
          <w:p>
            <w:pPr>
              <w:keepNext/>
              <w:spacing w:after="40"/>
            </w:pPr>
            <w:r>
              <w:rPr>
                <w:sz w:val="16"/>
              </w:rPr>
            </w:r>
          </w:p>
        </w:tc>
        <w:tc>
          <w:tcPr>
            <w:tcW w:type="dxa" w:w="1440"/>
          </w:tcPr>
          <w:p>
            <w:pPr>
              <w:keepNext/>
              <w:spacing w:after="40"/>
            </w:pPr>
            <w:r>
              <w:rPr>
                <w:sz w:val="16"/>
              </w:rPr>
            </w:r>
          </w:p>
        </w:tc>
        <w:tc>
          <w:tcPr>
            <w:tcW w:type="dxa" w:w="1440"/>
          </w:tcPr>
          <w:p>
            <w:pPr>
              <w:keepNext/>
              <w:spacing w:after="40"/>
            </w:pPr>
            <w:r>
              <w:rPr>
                <w:sz w:val="16"/>
              </w:rPr>
            </w:r>
          </w:p>
        </w:tc>
      </w:tr>
    </w:tbl>
    <w:p>
      <w:pPr>
        <w:keepNext/>
        <w:spacing w:after="100"/>
      </w:pPr>
      <w:r>
        <w:rPr>
          <w:b/>
          <w:i w:val="0"/>
          <w:sz w:val="18"/>
        </w:rPr>
        <w:t>Source 7: student survey (blank instrument; rate each statement from 1 = strongly disagree to 5 = strongly agree; student data needed)</w:t>
      </w:r>
    </w:p>
    <w:tbl>
      <w:tblPr>
        <w:tblW w:type="auto" w:w="0"/>
        <w:tblLayout w:type="fixed"/>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Pr>
      <w:tblGrid>
        <w:gridCol w:w="5616"/>
        <w:gridCol w:w="864"/>
        <w:gridCol w:w="864"/>
        <w:gridCol w:w="864"/>
        <w:gridCol w:w="864"/>
        <w:gridCol w:w="864"/>
      </w:tblGrid>
      <w:tr>
        <w:tc>
          <w:tcPr>
            <w:tcW w:type="dxa" w:w="5616"/>
            <w:shd w:val="clear" w:color="auto" w:fill="44546A"/>
          </w:tcPr>
          <w:p>
            <w:pPr>
              <w:keepNext/>
              <w:spacing w:after="40"/>
            </w:pPr>
            <w:r>
              <w:rPr>
                <w:b/>
                <w:color w:val="FFFFFF"/>
                <w:sz w:val="16"/>
              </w:rPr>
              <w:t>Statement</w:t>
            </w:r>
          </w:p>
        </w:tc>
        <w:tc>
          <w:tcPr>
            <w:tcW w:type="dxa" w:w="864"/>
            <w:shd w:val="clear" w:color="auto" w:fill="44546A"/>
          </w:tcPr>
          <w:p>
            <w:pPr>
              <w:keepNext/>
              <w:spacing w:after="40"/>
            </w:pPr>
            <w:r>
              <w:rPr>
                <w:b/>
                <w:color w:val="FFFFFF"/>
                <w:sz w:val="16"/>
              </w:rPr>
              <w:t>1</w:t>
            </w:r>
          </w:p>
        </w:tc>
        <w:tc>
          <w:tcPr>
            <w:tcW w:type="dxa" w:w="864"/>
            <w:shd w:val="clear" w:color="auto" w:fill="44546A"/>
          </w:tcPr>
          <w:p>
            <w:pPr>
              <w:keepNext/>
              <w:spacing w:after="40"/>
            </w:pPr>
            <w:r>
              <w:rPr>
                <w:b/>
                <w:color w:val="FFFFFF"/>
                <w:sz w:val="16"/>
              </w:rPr>
              <w:t>2</w:t>
            </w:r>
          </w:p>
        </w:tc>
        <w:tc>
          <w:tcPr>
            <w:tcW w:type="dxa" w:w="864"/>
            <w:shd w:val="clear" w:color="auto" w:fill="44546A"/>
          </w:tcPr>
          <w:p>
            <w:pPr>
              <w:keepNext/>
              <w:spacing w:after="40"/>
            </w:pPr>
            <w:r>
              <w:rPr>
                <w:b/>
                <w:color w:val="FFFFFF"/>
                <w:sz w:val="16"/>
              </w:rPr>
              <w:t>3</w:t>
            </w:r>
          </w:p>
        </w:tc>
        <w:tc>
          <w:tcPr>
            <w:tcW w:type="dxa" w:w="864"/>
            <w:shd w:val="clear" w:color="auto" w:fill="44546A"/>
          </w:tcPr>
          <w:p>
            <w:pPr>
              <w:keepNext/>
              <w:spacing w:after="40"/>
            </w:pPr>
            <w:r>
              <w:rPr>
                <w:b/>
                <w:color w:val="FFFFFF"/>
                <w:sz w:val="16"/>
              </w:rPr>
              <w:t>4</w:t>
            </w:r>
          </w:p>
        </w:tc>
        <w:tc>
          <w:tcPr>
            <w:tcW w:type="dxa" w:w="864"/>
            <w:shd w:val="clear" w:color="auto" w:fill="44546A"/>
          </w:tcPr>
          <w:p>
            <w:pPr>
              <w:keepNext/>
              <w:spacing w:after="40"/>
            </w:pPr>
            <w:r>
              <w:rPr>
                <w:b/>
                <w:color w:val="FFFFFF"/>
                <w:sz w:val="16"/>
              </w:rPr>
              <w:t>5</w:t>
            </w:r>
          </w:p>
        </w:tc>
      </w:tr>
      <w:tr>
        <w:tc>
          <w:tcPr>
            <w:tcW w:type="dxa" w:w="5616"/>
          </w:tcPr>
          <w:p>
            <w:pPr>
              <w:keepNext/>
              <w:spacing w:after="40"/>
            </w:pPr>
            <w:r>
              <w:rPr>
                <w:sz w:val="16"/>
              </w:rPr>
              <w:t>I know what to do if someone has an allergic reaction.</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 check ingredients before sharing food.</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Information about allergies is easy to find at school.</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Emergency medicine would be easy to reach quickly.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r>
        <w:tc>
          <w:tcPr>
            <w:tcW w:type="dxa" w:w="5616"/>
          </w:tcPr>
          <w:p>
            <w:pPr>
              <w:keepNext/>
              <w:spacing w:after="40"/>
            </w:pPr>
            <w:r>
              <w:rPr>
                <w:sz w:val="16"/>
              </w:rPr>
              <w:t>Total responses (tally)</w:t>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c>
          <w:tcPr>
            <w:tcW w:type="dxa" w:w="864"/>
          </w:tcPr>
          <w:p>
            <w:pPr>
              <w:keepNext/>
              <w:spacing w:after="40"/>
            </w:pPr>
            <w:r>
              <w:rPr>
                <w:sz w:val="16"/>
              </w:rPr>
            </w:r>
          </w:p>
        </w:tc>
      </w:tr>
    </w:tbl>
    <w:p>
      <w:r>
        <w:br w:type="page"/>
      </w:r>
    </w:p>
    <w:p>
      <w:pPr>
        <w:shd w:fill="44546A" w:color="auto" w:val="clear"/>
        <w:spacing w:after="60" w:before="400"/>
      </w:pPr>
      <w:r>
        <w:rPr>
          <w:b/>
          <w:bCs/>
          <w:color w:val="FFFFFF"/>
          <w:sz w:val="28"/>
          <w:szCs w:val="28"/>
        </w:rPr>
        <w:t xml:space="preserve">  ✓  </w:t>
      </w:r>
      <w:r>
        <w:rPr>
          <w:b/>
          <w:bCs/>
          <w:color w:val="FFFFFF"/>
          <w:sz w:val="28"/>
          <w:szCs w:val="28"/>
        </w:rPr>
        <w:t xml:space="preserve">  FINAL CHECKLIST — Tick Before Submitting</w:t>
      </w:r>
    </w:p>
    <w:p>
      <w:pPr>
        <w:spacing w:after="200"/>
      </w:pPr>
      <w:r>
        <w:rPr>
          <w:i/>
          <w:iCs/>
          <w:color w:val="44546A"/>
          <w:sz w:val="20"/>
          <w:szCs w:val="20"/>
        </w:rPr>
        <w:t xml:space="preserve">Review your complete Criterion A document against every point below.</w:t>
      </w:r>
    </w:p>
    <w:p>
      <w:pPr>
        <w:spacing w:after="100"/>
      </w:pPr>
      <w:r>
        <w:rPr>
          <w:sz w:val="22"/>
          <w:szCs w:val="22"/>
        </w:rPr>
        <w:t xml:space="preserve">☑  </w:t>
      </w:r>
      <w:r>
        <w:rPr>
          <w:sz w:val="20"/>
          <w:szCs w:val="20"/>
        </w:rPr>
        <w:t xml:space="preserve">A1: client, need, target audience, why, one image + one statistic (evidence)</w:t>
      </w:r>
    </w:p>
    <w:p>
      <w:pPr>
        <w:spacing w:after="100"/>
      </w:pPr>
      <w:r>
        <w:rPr>
          <w:sz w:val="22"/>
          <w:szCs w:val="22"/>
        </w:rPr>
        <w:t xml:space="preserve">☑  </w:t>
      </w:r>
      <w:r>
        <w:rPr>
          <w:sz w:val="20"/>
          <w:szCs w:val="20"/>
        </w:rPr>
        <w:t xml:space="preserve">A2: factual / conceptual / debatable questions — each prioritised, sourced, evidenced</w:t>
      </w:r>
    </w:p>
    <w:p>
      <w:pPr>
        <w:spacing w:after="100"/>
      </w:pPr>
      <w:r>
        <w:rPr>
          <w:sz w:val="22"/>
          <w:szCs w:val="22"/>
        </w:rPr>
        <w:t xml:space="preserve">☑  </w:t>
      </w:r>
      <w:r>
        <w:rPr>
          <w:sz w:val="20"/>
          <w:szCs w:val="20"/>
        </w:rPr>
        <w:t xml:space="preserve">A3: 3 significantly different products, screenshots, ACCESS FM analysis, pros/cons</w:t>
      </w:r>
    </w:p>
    <w:p>
      <w:pPr>
        <w:spacing w:after="100"/>
      </w:pPr>
      <w:r>
        <w:rPr>
          <w:sz w:val="22"/>
          <w:szCs w:val="22"/>
        </w:rPr>
        <w:t xml:space="preserve">☑  </w:t>
      </w:r>
      <w:r>
        <w:rPr>
          <w:sz w:val="20"/>
          <w:szCs w:val="20"/>
        </w:rPr>
        <w:t xml:space="preserve">A4: need restated, research referenced, Appendix A attached AND referenced, existing-products summary included</w:t>
      </w:r>
    </w:p>
    <w:p>
      <w:pPr>
        <w:spacing w:after="100"/>
      </w:pPr>
      <w:r>
        <w:rPr>
          <w:sz w:val="22"/>
          <w:szCs w:val="22"/>
        </w:rPr>
        <w:t xml:space="preserve">☑  </w:t>
      </w:r>
      <w:r>
        <w:rPr>
          <w:sz w:val="20"/>
          <w:szCs w:val="20"/>
        </w:rPr>
        <w:t xml:space="preserve">All four sections written in full paragraphs — no bullet points</w:t>
      </w:r>
    </w:p>
    <w:p>
      <w:pPr>
        <w:spacing w:after="100"/>
      </w:pPr>
      <w:r>
        <w:rPr>
          <w:sz w:val="22"/>
          <w:szCs w:val="22"/>
        </w:rPr>
        <w:t xml:space="preserve">☑  </w:t>
      </w:r>
      <w:r>
        <w:rPr>
          <w:sz w:val="20"/>
          <w:szCs w:val="20"/>
        </w:rPr>
        <w:t xml:space="preserve">Document proofread before final submission</w:t>
      </w:r>
    </w:p>
    <w:p>
      <w:pPr>
        <w:spacing w:before="300"/>
      </w:pPr>
      <w:r>
        <w:t xml:space="preserve"/>
      </w:r>
    </w:p>
    <w:sectPr>
      <w:headerReference w:type="default" r:id="rId7"/>
      <w:footerReference w:type="default" r:id="rId8"/>
      <w:pgSz w:w="12240" w:h="15840" w:orient="portrait"/>
      <w:pgMar w:top="1300" w:right="950" w:bottom="1200" w:left="950"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drawing>
        <wp:inline distT="0" distB="0" distL="0" distR="0">
          <wp:extent cx="6562725" cy="742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7429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distT="0" distB="0" distL="0" distR="0">
          <wp:extent cx="6562725"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562725" cy="5715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0" Type="http://schemas.openxmlformats.org/officeDocument/2006/relationships/image" Target="media/14293fbf60debd2a58be3e38ffcd01fbcc5359a7.png"/></Relationships>
</file>

<file path=word/_rels/header1.xml.rels><?xml version='1.0' encoding='UTF-8' standalone='yes'?>
<Relationships xmlns="http://schemas.openxmlformats.org/package/2006/relationships"><Relationship Id="rId0" Type="http://schemas.openxmlformats.org/officeDocument/2006/relationships/image" Target="media/250dc29098acc3704515de1fe2335ac5b2afd97b.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2026-09-27T06:14:22.920Z</dcterms:created>
  <dcterms:modified xsi:type="dcterms:W3CDTF">2026-09-27T06:14:22.927Z</dcterms:modified>
</cp:coreProperties>
</file>

<file path=docProps/custom.xml><?xml version="1.0" encoding="utf-8"?>
<Properties xmlns="http://schemas.openxmlformats.org/officeDocument/2006/custom-properties" xmlns:vt="http://schemas.openxmlformats.org/officeDocument/2006/docPropsVTypes"/>
</file>