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CD796">
      <w:pPr>
        <w:pStyle w:val="2"/>
        <w:jc w:val="center"/>
        <w:rPr>
          <w:rFonts w:hint="default" w:ascii="Times New Roman" w:hAnsi="Times New Roman" w:cs="Times New Roman"/>
          <w:color w:val="auto"/>
          <w:sz w:val="48"/>
          <w:szCs w:val="48"/>
        </w:rPr>
      </w:pPr>
      <w:bookmarkStart w:id="0" w:name="post-incident-report"/>
      <w:r>
        <w:rPr>
          <w:rFonts w:hint="default" w:ascii="Times New Roman" w:hAnsi="Times New Roman" w:cs="Times New Roman"/>
          <w:color w:val="auto"/>
          <w:sz w:val="48"/>
          <w:szCs w:val="48"/>
        </w:rPr>
        <w:t>Post-Incident Report</w:t>
      </w:r>
    </w:p>
    <w:p w14:paraId="480F9C30">
      <w:pPr>
        <w:pStyle w:val="4"/>
        <w:jc w:val="center"/>
        <w:rPr>
          <w:rFonts w:hint="default" w:ascii="Times New Roman" w:hAnsi="Times New Roman" w:cs="Times New Roman"/>
          <w:color w:val="auto"/>
          <w:sz w:val="32"/>
          <w:szCs w:val="32"/>
        </w:rPr>
      </w:pPr>
      <w:bookmarkStart w:id="1" w:name="capstone-project"/>
      <w:r>
        <w:rPr>
          <w:rFonts w:hint="default" w:ascii="Times New Roman" w:hAnsi="Times New Roman" w:cs="Times New Roman"/>
          <w:color w:val="auto"/>
          <w:sz w:val="32"/>
          <w:szCs w:val="32"/>
        </w:rPr>
        <w:t>Capstone Project</w:t>
      </w:r>
    </w:p>
    <w:p w14:paraId="0878ADB0">
      <w:pPr>
        <w:pStyle w:val="5"/>
        <w:jc w:val="center"/>
        <w:rPr>
          <w:rFonts w:hint="default" w:ascii="Times New Roman" w:hAnsi="Times New Roman" w:cs="Times New Roman"/>
          <w:color w:val="auto"/>
          <w:sz w:val="32"/>
          <w:szCs w:val="32"/>
        </w:rPr>
      </w:pPr>
      <w:bookmarkStart w:id="2" w:name="post-incident-analysis"/>
      <w:r>
        <w:rPr>
          <w:rFonts w:hint="default" w:ascii="Times New Roman" w:hAnsi="Times New Roman" w:cs="Times New Roman"/>
          <w:color w:val="auto"/>
          <w:sz w:val="32"/>
          <w:szCs w:val="32"/>
        </w:rPr>
        <w:t>Post-Incident Analysis</w:t>
      </w:r>
    </w:p>
    <w:p w14:paraId="42070CFE">
      <w:pPr>
        <w:rPr>
          <w:rFonts w:hint="default" w:ascii="Times New Roman" w:hAnsi="Times New Roman" w:cs="Times New Roman"/>
          <w:color w:val="auto"/>
          <w:sz w:val="32"/>
          <w:szCs w:val="32"/>
        </w:rPr>
      </w:pPr>
    </w:p>
    <w:bookmarkEnd w:id="0"/>
    <w:bookmarkEnd w:id="1"/>
    <w:bookmarkEnd w:id="2"/>
    <w:p w14:paraId="451FEFA1">
      <w:pPr>
        <w:pStyle w:val="2"/>
        <w:rPr>
          <w:rFonts w:hint="default" w:ascii="Times New Roman" w:hAnsi="Times New Roman" w:cs="Times New Roman"/>
          <w:b/>
          <w:bCs/>
          <w:color w:val="auto"/>
          <w:sz w:val="28"/>
          <w:szCs w:val="28"/>
        </w:rPr>
      </w:pPr>
      <w:bookmarkStart w:id="3" w:name="executive-summary"/>
      <w:r>
        <w:rPr>
          <w:rFonts w:hint="default" w:ascii="Times New Roman" w:hAnsi="Times New Roman" w:cs="Times New Roman"/>
          <w:b/>
          <w:bCs/>
          <w:color w:val="auto"/>
          <w:sz w:val="28"/>
          <w:szCs w:val="28"/>
        </w:rPr>
        <w:t>1. Executive Summary</w:t>
      </w:r>
    </w:p>
    <w:p w14:paraId="506A77F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controlled penetration test was performed against the Metasploitable 2 virtual machine to evaluate the effectiveness of the organization’s incident response process within a laboratory environment. During the exercise, a Meterpreter session was established through an intentionally vulnerable service. The session was subsequently detected, terminated, and verified as successfully removed.</w:t>
      </w:r>
    </w:p>
    <w:p w14:paraId="4552A46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production systems or real organizational assets were involved during this assessment.</w:t>
      </w:r>
    </w:p>
    <w:p w14:paraId="180C71FC">
      <w:pPr>
        <w:rPr>
          <w:rFonts w:hint="default" w:ascii="Times New Roman" w:hAnsi="Times New Roman" w:cs="Times New Roman"/>
          <w:color w:val="auto"/>
          <w:sz w:val="24"/>
          <w:szCs w:val="24"/>
        </w:rPr>
      </w:pPr>
    </w:p>
    <w:bookmarkEnd w:id="3"/>
    <w:p w14:paraId="0481C436">
      <w:pPr>
        <w:pStyle w:val="2"/>
        <w:rPr>
          <w:rFonts w:hint="default" w:ascii="Times New Roman" w:hAnsi="Times New Roman" w:cs="Times New Roman"/>
          <w:b/>
          <w:bCs/>
          <w:color w:val="auto"/>
          <w:sz w:val="28"/>
          <w:szCs w:val="28"/>
        </w:rPr>
      </w:pPr>
      <w:bookmarkStart w:id="4" w:name="incident-description"/>
      <w:r>
        <w:rPr>
          <w:rFonts w:hint="default" w:ascii="Times New Roman" w:hAnsi="Times New Roman" w:cs="Times New Roman"/>
          <w:b/>
          <w:bCs/>
          <w:color w:val="auto"/>
          <w:sz w:val="28"/>
          <w:szCs w:val="28"/>
        </w:rPr>
        <w:t>2. Incident Description</w:t>
      </w:r>
    </w:p>
    <w:tbl>
      <w:tblPr>
        <w:tblStyle w:val="41"/>
        <w:tblW w:w="0" w:type="auto"/>
        <w:tblInd w:w="0" w:type="dxa"/>
        <w:tblLayout w:type="autofit"/>
        <w:tblCellMar>
          <w:top w:w="0" w:type="dxa"/>
          <w:left w:w="108" w:type="dxa"/>
          <w:bottom w:w="0" w:type="dxa"/>
          <w:right w:w="108" w:type="dxa"/>
        </w:tblCellMar>
      </w:tblPr>
      <w:tblGrid>
        <w:gridCol w:w="1663"/>
        <w:gridCol w:w="4102"/>
      </w:tblGrid>
      <w:tr w14:paraId="1B22AFE4">
        <w:tblPrEx>
          <w:tblCellMar>
            <w:top w:w="0" w:type="dxa"/>
            <w:left w:w="108" w:type="dxa"/>
            <w:bottom w:w="0" w:type="dxa"/>
            <w:right w:w="108" w:type="dxa"/>
          </w:tblCellMar>
        </w:tblPrEx>
        <w:trPr>
          <w:tblHeader/>
        </w:trPr>
        <w:tc>
          <w:p w14:paraId="43AB8742">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Item</w:t>
            </w:r>
          </w:p>
        </w:tc>
        <w:tc>
          <w:p w14:paraId="2FC3957C">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Details</w:t>
            </w:r>
          </w:p>
        </w:tc>
      </w:tr>
      <w:tr w14:paraId="03033AB4">
        <w:tblPrEx>
          <w:tblCellMar>
            <w:top w:w="0" w:type="dxa"/>
            <w:left w:w="108" w:type="dxa"/>
            <w:bottom w:w="0" w:type="dxa"/>
            <w:right w:w="108" w:type="dxa"/>
          </w:tblCellMar>
        </w:tblPrEx>
        <w:tc>
          <w:p w14:paraId="6F573263">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Incident Type</w:t>
            </w:r>
          </w:p>
        </w:tc>
        <w:tc>
          <w:p w14:paraId="267C9CA4">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Simulated Unauthorized Remote Access</w:t>
            </w:r>
          </w:p>
        </w:tc>
      </w:tr>
      <w:tr w14:paraId="7BCFCA3C">
        <w:tblPrEx>
          <w:tblCellMar>
            <w:top w:w="0" w:type="dxa"/>
            <w:left w:w="108" w:type="dxa"/>
            <w:bottom w:w="0" w:type="dxa"/>
            <w:right w:w="108" w:type="dxa"/>
          </w:tblCellMar>
        </w:tblPrEx>
        <w:tc>
          <w:p w14:paraId="6AC1850E">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Environment</w:t>
            </w:r>
          </w:p>
        </w:tc>
        <w:tc>
          <w:p w14:paraId="2644DA23">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Virtual Laboratory</w:t>
            </w:r>
          </w:p>
        </w:tc>
      </w:tr>
      <w:tr w14:paraId="3DA54BF4">
        <w:tblPrEx>
          <w:tblCellMar>
            <w:top w:w="0" w:type="dxa"/>
            <w:left w:w="108" w:type="dxa"/>
            <w:bottom w:w="0" w:type="dxa"/>
            <w:right w:w="108" w:type="dxa"/>
          </w:tblCellMar>
        </w:tblPrEx>
        <w:tc>
          <w:p w14:paraId="182DD70D">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w:t>
            </w:r>
          </w:p>
        </w:tc>
        <w:tc>
          <w:p w14:paraId="264E98DF">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w:t>
            </w:r>
          </w:p>
        </w:tc>
      </w:tr>
      <w:tr w14:paraId="532DB637">
        <w:tblPrEx>
          <w:tblCellMar>
            <w:top w:w="0" w:type="dxa"/>
            <w:left w:w="108" w:type="dxa"/>
            <w:bottom w:w="0" w:type="dxa"/>
            <w:right w:w="108" w:type="dxa"/>
          </w:tblCellMar>
        </w:tblPrEx>
        <w:tc>
          <w:p w14:paraId="2319E2BD">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Attacker</w:t>
            </w:r>
          </w:p>
        </w:tc>
        <w:tc>
          <w:p w14:paraId="7AFF8357">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w:t>
            </w:r>
          </w:p>
        </w:tc>
      </w:tr>
      <w:tr w14:paraId="433D5E98">
        <w:tblPrEx>
          <w:tblCellMar>
            <w:top w:w="0" w:type="dxa"/>
            <w:left w:w="108" w:type="dxa"/>
            <w:bottom w:w="0" w:type="dxa"/>
            <w:right w:w="108" w:type="dxa"/>
          </w:tblCellMar>
        </w:tblPrEx>
        <w:tc>
          <w:p w14:paraId="1516451A">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Detection Tool</w:t>
            </w:r>
          </w:p>
        </w:tc>
        <w:tc>
          <w:p w14:paraId="6FA9CEBD">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 Framework</w:t>
            </w:r>
          </w:p>
        </w:tc>
      </w:tr>
      <w:tr w14:paraId="3C0AC96E">
        <w:tblPrEx>
          <w:tblCellMar>
            <w:top w:w="0" w:type="dxa"/>
            <w:left w:w="108" w:type="dxa"/>
            <w:bottom w:w="0" w:type="dxa"/>
            <w:right w:w="108" w:type="dxa"/>
          </w:tblCellMar>
        </w:tblPrEx>
        <w:tc>
          <w:p w14:paraId="7279D972">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Incident Status</w:t>
            </w:r>
          </w:p>
        </w:tc>
        <w:tc>
          <w:p w14:paraId="5F112DB6">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Resolved</w:t>
            </w:r>
          </w:p>
        </w:tc>
      </w:tr>
    </w:tbl>
    <w:p w14:paraId="7C394922">
      <w:pPr>
        <w:rPr>
          <w:rFonts w:hint="default" w:ascii="Times New Roman" w:hAnsi="Times New Roman" w:cs="Times New Roman"/>
          <w:color w:val="auto"/>
          <w:sz w:val="24"/>
          <w:szCs w:val="24"/>
        </w:rPr>
      </w:pPr>
    </w:p>
    <w:bookmarkEnd w:id="4"/>
    <w:p w14:paraId="70960FF5">
      <w:pPr>
        <w:pStyle w:val="2"/>
        <w:jc w:val="left"/>
        <w:rPr>
          <w:rFonts w:hint="default" w:ascii="Times New Roman" w:hAnsi="Times New Roman" w:cs="Times New Roman"/>
          <w:b/>
          <w:bCs/>
          <w:color w:val="auto"/>
          <w:sz w:val="28"/>
          <w:szCs w:val="28"/>
        </w:rPr>
      </w:pPr>
      <w:bookmarkStart w:id="5" w:name="timeline"/>
      <w:r>
        <w:rPr>
          <w:rFonts w:hint="default" w:ascii="Times New Roman" w:hAnsi="Times New Roman" w:cs="Times New Roman"/>
          <w:b/>
          <w:bCs/>
          <w:color w:val="auto"/>
          <w:sz w:val="28"/>
          <w:szCs w:val="28"/>
        </w:rPr>
        <w:t>3. Timeline</w:t>
      </w:r>
    </w:p>
    <w:tbl>
      <w:tblPr>
        <w:tblStyle w:val="41"/>
        <w:tblW w:w="0" w:type="auto"/>
        <w:tblInd w:w="0" w:type="dxa"/>
        <w:tblLayout w:type="autofit"/>
        <w:tblCellMar>
          <w:top w:w="0" w:type="dxa"/>
          <w:left w:w="108" w:type="dxa"/>
          <w:bottom w:w="0" w:type="dxa"/>
          <w:right w:w="108" w:type="dxa"/>
        </w:tblCellMar>
      </w:tblPr>
      <w:tblGrid>
        <w:gridCol w:w="2690"/>
        <w:gridCol w:w="3229"/>
      </w:tblGrid>
      <w:tr w14:paraId="7D435FF1">
        <w:tblPrEx>
          <w:tblCellMar>
            <w:top w:w="0" w:type="dxa"/>
            <w:left w:w="108" w:type="dxa"/>
            <w:bottom w:w="0" w:type="dxa"/>
            <w:right w:w="108" w:type="dxa"/>
          </w:tblCellMar>
        </w:tblPrEx>
        <w:trPr>
          <w:tblHeader/>
        </w:trPr>
        <w:tc>
          <w:p w14:paraId="5C6E81E7">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Time</w:t>
            </w:r>
          </w:p>
        </w:tc>
        <w:tc>
          <w:p w14:paraId="3D09B127">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Activity</w:t>
            </w:r>
          </w:p>
        </w:tc>
      </w:tr>
      <w:tr w14:paraId="6D7CC982">
        <w:tblPrEx>
          <w:tblCellMar>
            <w:top w:w="0" w:type="dxa"/>
            <w:left w:w="108" w:type="dxa"/>
            <w:bottom w:w="0" w:type="dxa"/>
            <w:right w:w="108" w:type="dxa"/>
          </w:tblCellMar>
        </w:tblPrEx>
        <w:tc>
          <w:p w14:paraId="042E2B60">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Reconnaissance</w:t>
            </w:r>
          </w:p>
        </w:tc>
        <w:tc>
          <w:p w14:paraId="241BDB93">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 information gathered</w:t>
            </w:r>
          </w:p>
        </w:tc>
      </w:tr>
      <w:tr w14:paraId="5A115619">
        <w:tblPrEx>
          <w:tblCellMar>
            <w:top w:w="0" w:type="dxa"/>
            <w:left w:w="108" w:type="dxa"/>
            <w:bottom w:w="0" w:type="dxa"/>
            <w:right w:w="108" w:type="dxa"/>
          </w:tblCellMar>
        </w:tblPrEx>
        <w:tc>
          <w:p w14:paraId="173A447C">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Vulnerability Assessment</w:t>
            </w:r>
          </w:p>
        </w:tc>
        <w:tc>
          <w:p w14:paraId="251D0A07">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OpenVAS scan completed</w:t>
            </w:r>
          </w:p>
        </w:tc>
      </w:tr>
      <w:tr w14:paraId="546FB46D">
        <w:tblPrEx>
          <w:tblCellMar>
            <w:top w:w="0" w:type="dxa"/>
            <w:left w:w="108" w:type="dxa"/>
            <w:bottom w:w="0" w:type="dxa"/>
            <w:right w:w="108" w:type="dxa"/>
          </w:tblCellMar>
        </w:tblPrEx>
        <w:tc>
          <w:p w14:paraId="6DF1637A">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Controlled Exploitation</w:t>
            </w:r>
          </w:p>
        </w:tc>
        <w:tc>
          <w:p w14:paraId="6226769C">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Meterpreter session established</w:t>
            </w:r>
          </w:p>
        </w:tc>
      </w:tr>
      <w:tr w14:paraId="7F8BA22B">
        <w:tblPrEx>
          <w:tblCellMar>
            <w:top w:w="0" w:type="dxa"/>
            <w:left w:w="108" w:type="dxa"/>
            <w:bottom w:w="0" w:type="dxa"/>
            <w:right w:w="108" w:type="dxa"/>
          </w:tblCellMar>
        </w:tblPrEx>
        <w:tc>
          <w:p w14:paraId="701F7D65">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Detection</w:t>
            </w:r>
          </w:p>
        </w:tc>
        <w:tc>
          <w:p w14:paraId="41B36A44">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Active session identified</w:t>
            </w:r>
          </w:p>
        </w:tc>
      </w:tr>
      <w:tr w14:paraId="2745147D">
        <w:tblPrEx>
          <w:tblCellMar>
            <w:top w:w="0" w:type="dxa"/>
            <w:left w:w="108" w:type="dxa"/>
            <w:bottom w:w="0" w:type="dxa"/>
            <w:right w:w="108" w:type="dxa"/>
          </w:tblCellMar>
        </w:tblPrEx>
        <w:tc>
          <w:p w14:paraId="29595886">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Containment</w:t>
            </w:r>
          </w:p>
        </w:tc>
        <w:tc>
          <w:p w14:paraId="4FAE4DBC">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Session terminated</w:t>
            </w:r>
          </w:p>
        </w:tc>
      </w:tr>
      <w:tr w14:paraId="22EB4FC6">
        <w:tblPrEx>
          <w:tblCellMar>
            <w:top w:w="0" w:type="dxa"/>
            <w:left w:w="108" w:type="dxa"/>
            <w:bottom w:w="0" w:type="dxa"/>
            <w:right w:w="108" w:type="dxa"/>
          </w:tblCellMar>
        </w:tblPrEx>
        <w:tc>
          <w:p w14:paraId="3BBE56FC">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Verification</w:t>
            </w:r>
          </w:p>
        </w:tc>
        <w:tc>
          <w:p w14:paraId="3FB4418C">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active sessions remaining</w:t>
            </w:r>
          </w:p>
        </w:tc>
      </w:tr>
    </w:tbl>
    <w:p w14:paraId="1CF89D78">
      <w:pPr>
        <w:rPr>
          <w:rFonts w:hint="default" w:ascii="Times New Roman" w:hAnsi="Times New Roman" w:cs="Times New Roman"/>
          <w:color w:val="auto"/>
          <w:sz w:val="24"/>
          <w:szCs w:val="24"/>
        </w:rPr>
      </w:pPr>
    </w:p>
    <w:bookmarkEnd w:id="5"/>
    <w:p w14:paraId="7E341969">
      <w:pPr>
        <w:pStyle w:val="2"/>
        <w:rPr>
          <w:rFonts w:hint="default" w:ascii="Times New Roman" w:hAnsi="Times New Roman" w:cs="Times New Roman"/>
          <w:b/>
          <w:bCs/>
          <w:color w:val="auto"/>
          <w:sz w:val="28"/>
          <w:szCs w:val="28"/>
        </w:rPr>
      </w:pPr>
      <w:bookmarkStart w:id="6" w:name="root-cause"/>
      <w:r>
        <w:rPr>
          <w:rFonts w:hint="default" w:ascii="Times New Roman" w:hAnsi="Times New Roman" w:cs="Times New Roman"/>
          <w:b/>
          <w:bCs/>
          <w:color w:val="auto"/>
          <w:sz w:val="28"/>
          <w:szCs w:val="28"/>
        </w:rPr>
        <w:t>4. Root Cause</w:t>
      </w:r>
    </w:p>
    <w:p w14:paraId="383345E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compromise was possible because the target system intentionally contained outdated and vulnerable services designed for penetration testing. Specifically, the UnrealIRCd service contained a known backdoor vulnerability that allowed remote command execution.</w:t>
      </w:r>
    </w:p>
    <w:p w14:paraId="4467BA56">
      <w:pPr>
        <w:rPr>
          <w:rFonts w:hint="default" w:ascii="Times New Roman" w:hAnsi="Times New Roman" w:cs="Times New Roman"/>
          <w:color w:val="auto"/>
          <w:sz w:val="24"/>
          <w:szCs w:val="24"/>
        </w:rPr>
      </w:pPr>
    </w:p>
    <w:bookmarkEnd w:id="6"/>
    <w:p w14:paraId="2B755937">
      <w:pPr>
        <w:pStyle w:val="2"/>
        <w:rPr>
          <w:rFonts w:hint="default" w:ascii="Times New Roman" w:hAnsi="Times New Roman" w:cs="Times New Roman"/>
          <w:b/>
          <w:bCs/>
          <w:color w:val="auto"/>
          <w:sz w:val="28"/>
          <w:szCs w:val="28"/>
        </w:rPr>
      </w:pPr>
      <w:bookmarkStart w:id="7" w:name="impact-assessment"/>
      <w:r>
        <w:rPr>
          <w:rFonts w:hint="default" w:ascii="Times New Roman" w:hAnsi="Times New Roman" w:cs="Times New Roman"/>
          <w:b/>
          <w:bCs/>
          <w:color w:val="auto"/>
          <w:sz w:val="28"/>
          <w:szCs w:val="28"/>
        </w:rPr>
        <w:t>5. Impact Assessment</w:t>
      </w:r>
    </w:p>
    <w:p w14:paraId="6BB4DE1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controlled exploitation demonstrated that an attacker could obtain administrative access to the vulnerable system.</w:t>
      </w:r>
    </w:p>
    <w:p w14:paraId="3A648253">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Potential risks include:</w:t>
      </w:r>
    </w:p>
    <w:p w14:paraId="332FA297">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Unauthorized remote access</w:t>
      </w:r>
    </w:p>
    <w:p w14:paraId="168371C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Privilege escalation</w:t>
      </w:r>
    </w:p>
    <w:p w14:paraId="2973E28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Information disclosure</w:t>
      </w:r>
    </w:p>
    <w:p w14:paraId="2AB20160">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 system compromise</w:t>
      </w:r>
    </w:p>
    <w:p w14:paraId="7D6B5CC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Because the exercise was performed in a laboratory environment, no real organizational assets were affected.</w:t>
      </w:r>
    </w:p>
    <w:p w14:paraId="66D2D213">
      <w:pPr>
        <w:rPr>
          <w:rFonts w:hint="default" w:ascii="Times New Roman" w:hAnsi="Times New Roman" w:cs="Times New Roman"/>
          <w:color w:val="auto"/>
          <w:sz w:val="24"/>
          <w:szCs w:val="24"/>
        </w:rPr>
      </w:pPr>
    </w:p>
    <w:bookmarkEnd w:id="7"/>
    <w:p w14:paraId="798D955E">
      <w:pPr>
        <w:pStyle w:val="2"/>
        <w:rPr>
          <w:rFonts w:hint="default" w:ascii="Times New Roman" w:hAnsi="Times New Roman" w:cs="Times New Roman"/>
          <w:b/>
          <w:bCs/>
          <w:color w:val="auto"/>
          <w:sz w:val="28"/>
          <w:szCs w:val="28"/>
        </w:rPr>
      </w:pPr>
      <w:bookmarkStart w:id="8" w:name="actions-taken"/>
      <w:r>
        <w:rPr>
          <w:rFonts w:hint="default" w:ascii="Times New Roman" w:hAnsi="Times New Roman" w:cs="Times New Roman"/>
          <w:b/>
          <w:bCs/>
          <w:color w:val="auto"/>
          <w:sz w:val="28"/>
          <w:szCs w:val="28"/>
        </w:rPr>
        <w:t>6. Actions Taken</w:t>
      </w:r>
    </w:p>
    <w:p w14:paraId="17E1FF34">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Active Meterpreter session detected.</w:t>
      </w:r>
    </w:p>
    <w:p w14:paraId="14C50429">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Session information reviewed.</w:t>
      </w:r>
    </w:p>
    <w:p w14:paraId="634F437B">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Unauthorized session terminated.</w:t>
      </w:r>
    </w:p>
    <w:p w14:paraId="7EEB705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Successful containment verified.</w:t>
      </w:r>
    </w:p>
    <w:p w14:paraId="6D1B1A14">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Incident documented.</w:t>
      </w:r>
    </w:p>
    <w:p w14:paraId="1DA6A8DE">
      <w:pPr>
        <w:rPr>
          <w:rFonts w:hint="default" w:ascii="Times New Roman" w:hAnsi="Times New Roman" w:cs="Times New Roman"/>
          <w:color w:val="auto"/>
          <w:sz w:val="24"/>
          <w:szCs w:val="24"/>
        </w:rPr>
      </w:pPr>
    </w:p>
    <w:bookmarkEnd w:id="8"/>
    <w:p w14:paraId="7B1A0A42">
      <w:pPr>
        <w:pStyle w:val="2"/>
        <w:rPr>
          <w:rFonts w:hint="default" w:ascii="Times New Roman" w:hAnsi="Times New Roman" w:cs="Times New Roman"/>
          <w:b/>
          <w:bCs/>
          <w:color w:val="auto"/>
          <w:sz w:val="28"/>
          <w:szCs w:val="28"/>
        </w:rPr>
      </w:pPr>
      <w:bookmarkStart w:id="9" w:name="lessons-learned"/>
      <w:r>
        <w:rPr>
          <w:rFonts w:hint="default" w:ascii="Times New Roman" w:hAnsi="Times New Roman" w:cs="Times New Roman"/>
          <w:b/>
          <w:bCs/>
          <w:color w:val="auto"/>
          <w:sz w:val="28"/>
          <w:szCs w:val="28"/>
        </w:rPr>
        <w:t>7. Lessons Learned</w:t>
      </w:r>
    </w:p>
    <w:p w14:paraId="595352F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exercise demonstrated the importance of:</w:t>
      </w:r>
    </w:p>
    <w:p w14:paraId="0A4BBFB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Continuous monitoring of active sessions.</w:t>
      </w:r>
    </w:p>
    <w:p w14:paraId="3A0ED5E9">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Timely incident detection.</w:t>
      </w:r>
    </w:p>
    <w:p w14:paraId="7DA67AA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Immediate containment of unauthorized access.</w:t>
      </w:r>
    </w:p>
    <w:p w14:paraId="646EE199">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Proper documentation throughout the incident response lifecycle.</w:t>
      </w:r>
    </w:p>
    <w:p w14:paraId="13A6650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Regular vulnerability assessments to identify outdated services.</w:t>
      </w:r>
    </w:p>
    <w:p w14:paraId="54D356F3">
      <w:pPr>
        <w:rPr>
          <w:rFonts w:hint="default" w:ascii="Times New Roman" w:hAnsi="Times New Roman" w:cs="Times New Roman"/>
          <w:color w:val="auto"/>
          <w:sz w:val="24"/>
          <w:szCs w:val="24"/>
        </w:rPr>
      </w:pPr>
    </w:p>
    <w:bookmarkEnd w:id="9"/>
    <w:p w14:paraId="4518051E">
      <w:pPr>
        <w:pStyle w:val="2"/>
        <w:rPr>
          <w:rFonts w:hint="default" w:ascii="Times New Roman" w:hAnsi="Times New Roman" w:cs="Times New Roman"/>
          <w:b/>
          <w:bCs/>
          <w:color w:val="auto"/>
          <w:sz w:val="28"/>
          <w:szCs w:val="28"/>
        </w:rPr>
      </w:pPr>
      <w:bookmarkStart w:id="10" w:name="recommendations"/>
      <w:r>
        <w:rPr>
          <w:rFonts w:hint="default" w:ascii="Times New Roman" w:hAnsi="Times New Roman" w:cs="Times New Roman"/>
          <w:b/>
          <w:bCs/>
          <w:color w:val="auto"/>
          <w:sz w:val="28"/>
          <w:szCs w:val="28"/>
        </w:rPr>
        <w:t>8. Recommendations</w:t>
      </w:r>
    </w:p>
    <w:p w14:paraId="351302D2">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security improvements are recommended:</w:t>
      </w:r>
    </w:p>
    <w:p w14:paraId="40DAB7A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Regular vulnerability scanning.</w:t>
      </w:r>
    </w:p>
    <w:p w14:paraId="5C2991DC">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Timely installation of security patches.</w:t>
      </w:r>
    </w:p>
    <w:p w14:paraId="18CF055A">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unnecessary network services.</w:t>
      </w:r>
    </w:p>
    <w:p w14:paraId="69A50E6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continuous security monitoring.</w:t>
      </w:r>
    </w:p>
    <w:p w14:paraId="4F88E1B4">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Apply the principle of least privilege.</w:t>
      </w:r>
    </w:p>
    <w:p w14:paraId="23255CB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Maintain updated incident response procedures.</w:t>
      </w:r>
    </w:p>
    <w:p w14:paraId="061EC28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Conduct periodic penetration testing.</w:t>
      </w:r>
    </w:p>
    <w:p w14:paraId="2376923A">
      <w:pPr>
        <w:rPr>
          <w:rFonts w:hint="default" w:ascii="Times New Roman" w:hAnsi="Times New Roman" w:cs="Times New Roman"/>
          <w:color w:val="auto"/>
          <w:sz w:val="24"/>
          <w:szCs w:val="24"/>
        </w:rPr>
      </w:pPr>
    </w:p>
    <w:bookmarkEnd w:id="10"/>
    <w:p w14:paraId="48068F20">
      <w:pPr>
        <w:pStyle w:val="2"/>
        <w:rPr>
          <w:rFonts w:hint="default" w:ascii="Times New Roman" w:hAnsi="Times New Roman" w:cs="Times New Roman"/>
          <w:b/>
          <w:bCs/>
          <w:color w:val="auto"/>
          <w:sz w:val="28"/>
          <w:szCs w:val="28"/>
        </w:rPr>
      </w:pPr>
      <w:bookmarkStart w:id="11" w:name="conclusion"/>
      <w:r>
        <w:rPr>
          <w:rFonts w:hint="default" w:ascii="Times New Roman" w:hAnsi="Times New Roman" w:cs="Times New Roman"/>
          <w:b/>
          <w:bCs/>
          <w:color w:val="auto"/>
          <w:sz w:val="28"/>
          <w:szCs w:val="28"/>
        </w:rPr>
        <w:t>9. Conclusion</w:t>
      </w:r>
      <w:bookmarkStart w:id="12" w:name="_GoBack"/>
      <w:bookmarkEnd w:id="12"/>
    </w:p>
    <w:p w14:paraId="3DD58D1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simulated incident was successfully managed from detection through containment and verification. The exercise demonstrated the practical application of the incident response lifecycle and reinforced the importance of proactive vulnerability management and effective incident handling within a controlled cybersecurity environment.</w:t>
      </w:r>
    </w:p>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8E87D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7</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2026-06-28T16:34:00Z</dcterms:created>
  <dc:creator>mudhiraj</dc:creator>
  <cp:lastModifiedBy>mudhiraj</cp:lastModifiedBy>
  <dcterms:modified xsi:type="dcterms:W3CDTF">2026-06-28T16:36:29Z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6CC009064C6F4E5BAF3287341D8F581F_12</vt:lpwstr>
  </property>
</Properties>
</file>