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E16E0">
      <w:pPr>
        <w:spacing w:after="360"/>
        <w:jc w:val="center"/>
      </w:pPr>
      <w:r>
        <w:rPr>
          <w:rFonts w:ascii="Times New Roman" w:hAnsi="Times New Roman"/>
          <w:b/>
          <w:sz w:val="32"/>
        </w:rPr>
        <w:t>VULNERABILITY ASSESSMENT &amp; PENETRATION TESTING REPORT</w:t>
      </w:r>
      <w:r>
        <w:rPr>
          <w:rFonts w:ascii="Times New Roman" w:hAnsi="Times New Roman"/>
          <w:b/>
          <w:sz w:val="32"/>
        </w:rPr>
        <w:br w:type="textWrapping"/>
      </w:r>
      <w:r>
        <w:rPr>
          <w:rFonts w:ascii="Times New Roman" w:hAnsi="Times New Roman"/>
          <w:b/>
          <w:sz w:val="32"/>
        </w:rPr>
        <w:t>Target Host: 192.168.56.101 (Metasploitable2)</w:t>
      </w:r>
    </w:p>
    <w:p w14:paraId="57708BAC">
      <w:pPr>
        <w:keepNext/>
        <w:spacing w:before="240" w:after="80"/>
      </w:pPr>
      <w:r>
        <w:rPr>
          <w:rFonts w:ascii="Times New Roman" w:hAnsi="Times New Roman"/>
          <w:b/>
          <w:sz w:val="28"/>
        </w:rPr>
        <w:t>1. Objective</w:t>
      </w:r>
    </w:p>
    <w:p w14:paraId="546022EC">
      <w:pPr>
        <w:spacing w:after="120" w:line="276" w:lineRule="auto"/>
      </w:pPr>
      <w:r>
        <w:rPr>
          <w:rFonts w:ascii="Times New Roman" w:hAnsi="Times New Roman"/>
          <w:i w:val="0"/>
          <w:sz w:val="24"/>
        </w:rPr>
        <w:t>The primary objective of this assessment was to perform an automated comprehensive vulnerability scan on the Metasploitable2 virtual machine utilizing the OpenVAS (Open Vulnerability Assessment System) framework. The assessment aims to identify, verify, and categorize systemic security weaknesses based on their technical severity, potential business impact, and ease of exploitability. This systematic analysis helps define an actionable remediation path to secure the targeted environment.</w:t>
      </w:r>
    </w:p>
    <w:p w14:paraId="6E00B3D0">
      <w:pPr>
        <w:keepNext/>
        <w:spacing w:before="240" w:after="80"/>
      </w:pPr>
      <w:r>
        <w:rPr>
          <w:rFonts w:ascii="Times New Roman" w:hAnsi="Times New Roman"/>
          <w:b/>
          <w:sz w:val="28"/>
        </w:rPr>
        <w:t>2. Environment Setup &amp; Scan Methodology</w:t>
      </w:r>
    </w:p>
    <w:p w14:paraId="5FF0BD42">
      <w:pPr>
        <w:spacing w:after="120" w:line="276" w:lineRule="auto"/>
      </w:pPr>
      <w:r>
        <w:rPr>
          <w:rFonts w:ascii="Times New Roman" w:hAnsi="Times New Roman"/>
          <w:i w:val="0"/>
          <w:sz w:val="24"/>
        </w:rPr>
        <w:t>The assessment was performed within an isolated virtual laboratory environment to ensure strict control and prevent network disruption. The architectural components consisted of the following:</w:t>
      </w:r>
    </w:p>
    <w:p w14:paraId="750624C5">
      <w:pPr>
        <w:spacing w:after="120" w:line="276" w:lineRule="auto"/>
      </w:pPr>
      <w:r>
        <w:rPr>
          <w:rFonts w:ascii="Times New Roman" w:hAnsi="Times New Roman"/>
          <w:b/>
          <w:sz w:val="24"/>
        </w:rPr>
        <w:t xml:space="preserve">• Kali Linux Assessment Platform: </w:t>
      </w:r>
      <w:r>
        <w:rPr>
          <w:rFonts w:ascii="Times New Roman" w:hAnsi="Times New Roman"/>
          <w:i w:val="0"/>
          <w:sz w:val="24"/>
        </w:rPr>
        <w:t xml:space="preserve"> Built on a modern 2025 release architecture within Oracle VirtualBox. It served as the central assessment deployment platform hosting the OpenVAS engine and Greenbone Vulnerability Management interface.</w:t>
      </w:r>
    </w:p>
    <w:p w14:paraId="781E6519">
      <w:pPr>
        <w:spacing w:after="120" w:line="276" w:lineRule="auto"/>
      </w:pPr>
      <w:r>
        <w:rPr>
          <w:rFonts w:ascii="Times New Roman" w:hAnsi="Times New Roman"/>
          <w:b/>
          <w:sz w:val="24"/>
        </w:rPr>
        <w:t xml:space="preserve">• Target Infrastructure (Metasploitable2): </w:t>
      </w:r>
      <w:r>
        <w:rPr>
          <w:rFonts w:ascii="Times New Roman" w:hAnsi="Times New Roman"/>
          <w:i w:val="0"/>
          <w:sz w:val="24"/>
        </w:rPr>
        <w:t xml:space="preserve"> An intentionally vulnerable Linux distribution configured with IP address 192.168.56.101, designed specifically to test vulnerability scanning precision and emulate legacy server exposure.</w:t>
      </w:r>
    </w:p>
    <w:p w14:paraId="35D27F80">
      <w:pPr>
        <w:spacing w:after="120" w:line="276" w:lineRule="auto"/>
      </w:pPr>
      <w:r>
        <w:rPr>
          <w:rFonts w:ascii="Times New Roman" w:hAnsi="Times New Roman"/>
          <w:b/>
          <w:sz w:val="24"/>
        </w:rPr>
        <w:t xml:space="preserve">• Scan Methodology: </w:t>
      </w:r>
      <w:r>
        <w:rPr>
          <w:rFonts w:ascii="Times New Roman" w:hAnsi="Times New Roman"/>
          <w:i w:val="0"/>
          <w:sz w:val="24"/>
        </w:rPr>
        <w:t xml:space="preserve"> The scan was initiated via the OpenVAS framework utilizing standard Network Vulnerability Tests (NVTs). The scanner executed a deep active check protocol, testing specific service behaviors, checking for default credentials, probing for known backdoor implementations, and analyzing misconfigurations.</w:t>
      </w:r>
    </w:p>
    <w:p w14:paraId="5EF4EF68">
      <w:pPr>
        <w:keepNext/>
        <w:spacing w:before="240" w:after="80"/>
      </w:pPr>
      <w:r>
        <w:rPr>
          <w:rFonts w:ascii="Times New Roman" w:hAnsi="Times New Roman"/>
          <w:b/>
          <w:sz w:val="28"/>
        </w:rPr>
        <w:t>3. Security Scan Summary &amp; Findings Breakdown</w:t>
      </w:r>
    </w:p>
    <w:p w14:paraId="4E727650">
      <w:pPr>
        <w:spacing w:after="120" w:line="276" w:lineRule="auto"/>
      </w:pPr>
      <w:r>
        <w:rPr>
          <w:rFonts w:ascii="Times New Roman" w:hAnsi="Times New Roman"/>
          <w:i w:val="0"/>
          <w:sz w:val="24"/>
        </w:rPr>
        <w:t>The OpenVAS vulnerability detection framework completed a full scope inspection of the target environment. The engine evaluated the target against a comprehensive vulnerability database containing over 180,844 Network Vulnerability Tests (NVTs).</w:t>
      </w:r>
    </w:p>
    <w:p w14:paraId="3C34AC3F">
      <w:pPr>
        <w:spacing w:after="120" w:line="276" w:lineRule="auto"/>
      </w:pPr>
      <w:r>
        <w:rPr>
          <w:rFonts w:ascii="Times New Roman" w:hAnsi="Times New Roman"/>
          <w:i w:val="0"/>
          <w:sz w:val="24"/>
        </w:rPr>
        <w:t>A total of 123 distinct vulnerabilities were thoroughly identified and cataloged inside the reporting interface. The metrics and severity distribution are broken down as follows: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657BB1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20" w:type="dxa"/>
              <w:left w:w="150" w:type="dxa"/>
              <w:bottom w:w="120" w:type="dxa"/>
              <w:right w:w="150" w:type="dxa"/>
            </w:tcMar>
          </w:tcPr>
          <w:p w14:paraId="69CC0CE2">
            <w:pPr>
              <w:spacing w:after="0" w:line="240" w:lineRule="auto"/>
              <w:rPr>
                <w:color w:val="376092" w:themeColor="accent1" w:themeShade="BF"/>
              </w:rPr>
            </w:pPr>
            <w:r>
              <w:rPr>
                <w:rFonts w:ascii="Times New Roman" w:hAnsi="Times New Roman"/>
                <w:b/>
                <w:color w:val="376092" w:themeColor="accent1" w:themeShade="BF"/>
                <w:sz w:val="24"/>
              </w:rPr>
              <w:t>Severity Level</w:t>
            </w:r>
          </w:p>
        </w:tc>
        <w:tc>
          <w:tcPr>
            <w:tcW w:w="2880" w:type="dxa"/>
            <w:tcMar>
              <w:top w:w="120" w:type="dxa"/>
              <w:left w:w="150" w:type="dxa"/>
              <w:bottom w:w="120" w:type="dxa"/>
              <w:right w:w="150" w:type="dxa"/>
            </w:tcMar>
          </w:tcPr>
          <w:p w14:paraId="27FCD357">
            <w:pPr>
              <w:spacing w:after="0" w:line="240" w:lineRule="auto"/>
              <w:rPr>
                <w:color w:val="376092" w:themeColor="accent1" w:themeShade="BF"/>
              </w:rPr>
            </w:pPr>
            <w:r>
              <w:rPr>
                <w:rFonts w:ascii="Times New Roman" w:hAnsi="Times New Roman"/>
                <w:b/>
                <w:color w:val="376092" w:themeColor="accent1" w:themeShade="BF"/>
                <w:sz w:val="24"/>
              </w:rPr>
              <w:t>Identified Counts</w:t>
            </w:r>
          </w:p>
        </w:tc>
        <w:tc>
          <w:tcPr>
            <w:tcW w:w="2880" w:type="dxa"/>
            <w:tcMar>
              <w:top w:w="120" w:type="dxa"/>
              <w:left w:w="150" w:type="dxa"/>
              <w:bottom w:w="120" w:type="dxa"/>
              <w:right w:w="150" w:type="dxa"/>
            </w:tcMar>
          </w:tcPr>
          <w:p w14:paraId="52470814">
            <w:pPr>
              <w:spacing w:after="0" w:line="240" w:lineRule="auto"/>
              <w:rPr>
                <w:color w:val="376092" w:themeColor="accent1" w:themeShade="BF"/>
              </w:rPr>
            </w:pPr>
            <w:r>
              <w:rPr>
                <w:rFonts w:ascii="Times New Roman" w:hAnsi="Times New Roman"/>
                <w:b/>
                <w:color w:val="376092" w:themeColor="accent1" w:themeShade="BF"/>
                <w:sz w:val="24"/>
              </w:rPr>
              <w:t>Risk Profile &amp; Assessment Impact</w:t>
            </w:r>
          </w:p>
        </w:tc>
      </w:tr>
      <w:tr w14:paraId="037F0B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00" w:type="dxa"/>
              <w:left w:w="150" w:type="dxa"/>
              <w:bottom w:w="100" w:type="dxa"/>
              <w:right w:w="150" w:type="dxa"/>
            </w:tcMar>
          </w:tcPr>
          <w:p w14:paraId="10EA3419">
            <w:pPr>
              <w:spacing w:after="0" w:line="240" w:lineRule="auto"/>
              <w:rPr>
                <w:color w:val="376092" w:themeColor="accent1" w:themeShade="BF"/>
              </w:rPr>
            </w:pPr>
            <w:r>
              <w:rPr>
                <w:rFonts w:ascii="Times New Roman" w:hAnsi="Times New Roman"/>
                <w:color w:val="376092" w:themeColor="accent1" w:themeShade="BF"/>
                <w:sz w:val="24"/>
              </w:rPr>
              <w:t>Critical (CVSS 9.0 - 10.0)</w:t>
            </w:r>
          </w:p>
        </w:tc>
        <w:tc>
          <w:tcPr>
            <w:tcW w:w="2880" w:type="dxa"/>
            <w:tcMar>
              <w:top w:w="100" w:type="dxa"/>
              <w:left w:w="150" w:type="dxa"/>
              <w:bottom w:w="100" w:type="dxa"/>
              <w:right w:w="150" w:type="dxa"/>
            </w:tcMar>
          </w:tcPr>
          <w:p w14:paraId="44849924">
            <w:pPr>
              <w:spacing w:after="0" w:line="240" w:lineRule="auto"/>
              <w:rPr>
                <w:color w:val="376092" w:themeColor="accent1" w:themeShade="BF"/>
              </w:rPr>
            </w:pPr>
            <w:r>
              <w:rPr>
                <w:rFonts w:ascii="Times New Roman" w:hAnsi="Times New Roman"/>
                <w:color w:val="376092" w:themeColor="accent1" w:themeShade="BF"/>
                <w:sz w:val="24"/>
              </w:rPr>
              <w:t>13</w:t>
            </w:r>
          </w:p>
        </w:tc>
        <w:tc>
          <w:tcPr>
            <w:tcW w:w="2880" w:type="dxa"/>
            <w:tcMar>
              <w:top w:w="100" w:type="dxa"/>
              <w:left w:w="150" w:type="dxa"/>
              <w:bottom w:w="100" w:type="dxa"/>
              <w:right w:w="150" w:type="dxa"/>
            </w:tcMar>
          </w:tcPr>
          <w:p w14:paraId="4E515A15">
            <w:pPr>
              <w:spacing w:after="0" w:line="240" w:lineRule="auto"/>
              <w:rPr>
                <w:color w:val="376092" w:themeColor="accent1" w:themeShade="BF"/>
              </w:rPr>
            </w:pPr>
            <w:r>
              <w:rPr>
                <w:rFonts w:ascii="Times New Roman" w:hAnsi="Times New Roman"/>
                <w:color w:val="376092" w:themeColor="accent1" w:themeShade="BF"/>
                <w:sz w:val="24"/>
              </w:rPr>
              <w:t>Allows complete remote code execution, active root backdoor bypass, or full unauthenticated platform takeovers.</w:t>
            </w:r>
          </w:p>
        </w:tc>
      </w:tr>
      <w:tr w14:paraId="21241F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00" w:type="dxa"/>
              <w:left w:w="150" w:type="dxa"/>
              <w:bottom w:w="100" w:type="dxa"/>
              <w:right w:w="150" w:type="dxa"/>
            </w:tcMar>
          </w:tcPr>
          <w:p w14:paraId="087CEB54">
            <w:pPr>
              <w:spacing w:after="0" w:line="240" w:lineRule="auto"/>
              <w:rPr>
                <w:color w:val="376092" w:themeColor="accent1" w:themeShade="BF"/>
              </w:rPr>
            </w:pPr>
            <w:r>
              <w:rPr>
                <w:rFonts w:ascii="Times New Roman" w:hAnsi="Times New Roman"/>
                <w:color w:val="376092" w:themeColor="accent1" w:themeShade="BF"/>
                <w:sz w:val="24"/>
              </w:rPr>
              <w:t>High (CVSS 7.0 - 8.9)</w:t>
            </w:r>
          </w:p>
        </w:tc>
        <w:tc>
          <w:tcPr>
            <w:tcW w:w="2880" w:type="dxa"/>
            <w:tcMar>
              <w:top w:w="100" w:type="dxa"/>
              <w:left w:w="150" w:type="dxa"/>
              <w:bottom w:w="100" w:type="dxa"/>
              <w:right w:w="150" w:type="dxa"/>
            </w:tcMar>
          </w:tcPr>
          <w:p w14:paraId="6232E4E0">
            <w:pPr>
              <w:spacing w:after="0" w:line="240" w:lineRule="auto"/>
              <w:rPr>
                <w:color w:val="376092" w:themeColor="accent1" w:themeShade="BF"/>
              </w:rPr>
            </w:pPr>
            <w:r>
              <w:rPr>
                <w:rFonts w:ascii="Times New Roman" w:hAnsi="Times New Roman"/>
                <w:color w:val="376092" w:themeColor="accent1" w:themeShade="BF"/>
                <w:sz w:val="24"/>
              </w:rPr>
              <w:t>8</w:t>
            </w:r>
          </w:p>
        </w:tc>
        <w:tc>
          <w:tcPr>
            <w:tcW w:w="2880" w:type="dxa"/>
            <w:tcMar>
              <w:top w:w="100" w:type="dxa"/>
              <w:left w:w="150" w:type="dxa"/>
              <w:bottom w:w="100" w:type="dxa"/>
              <w:right w:w="150" w:type="dxa"/>
            </w:tcMar>
          </w:tcPr>
          <w:p w14:paraId="52A658B0">
            <w:pPr>
              <w:spacing w:after="0" w:line="240" w:lineRule="auto"/>
              <w:rPr>
                <w:color w:val="376092" w:themeColor="accent1" w:themeShade="BF"/>
              </w:rPr>
            </w:pPr>
            <w:r>
              <w:rPr>
                <w:rFonts w:ascii="Times New Roman" w:hAnsi="Times New Roman"/>
                <w:color w:val="376092" w:themeColor="accent1" w:themeShade="BF"/>
                <w:sz w:val="24"/>
              </w:rPr>
              <w:t>Defines severe security exposures affecting confidentiality, access control integrity, and system stability.</w:t>
            </w:r>
          </w:p>
        </w:tc>
      </w:tr>
      <w:tr w14:paraId="5F5757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00" w:type="dxa"/>
              <w:left w:w="150" w:type="dxa"/>
              <w:bottom w:w="100" w:type="dxa"/>
              <w:right w:w="150" w:type="dxa"/>
            </w:tcMar>
          </w:tcPr>
          <w:p w14:paraId="79253403">
            <w:pPr>
              <w:spacing w:after="0" w:line="240" w:lineRule="auto"/>
              <w:rPr>
                <w:color w:val="376092" w:themeColor="accent1" w:themeShade="BF"/>
              </w:rPr>
            </w:pPr>
            <w:r>
              <w:rPr>
                <w:rFonts w:ascii="Times New Roman" w:hAnsi="Times New Roman"/>
                <w:color w:val="376092" w:themeColor="accent1" w:themeShade="BF"/>
                <w:sz w:val="24"/>
              </w:rPr>
              <w:t>Medium (CVSS 4.0 - 6.9)</w:t>
            </w:r>
          </w:p>
        </w:tc>
        <w:tc>
          <w:tcPr>
            <w:tcW w:w="2880" w:type="dxa"/>
            <w:tcMar>
              <w:top w:w="100" w:type="dxa"/>
              <w:left w:w="150" w:type="dxa"/>
              <w:bottom w:w="100" w:type="dxa"/>
              <w:right w:w="150" w:type="dxa"/>
            </w:tcMar>
          </w:tcPr>
          <w:p w14:paraId="35F2E878">
            <w:pPr>
              <w:spacing w:after="0" w:line="240" w:lineRule="auto"/>
              <w:rPr>
                <w:color w:val="376092" w:themeColor="accent1" w:themeShade="BF"/>
              </w:rPr>
            </w:pPr>
            <w:r>
              <w:rPr>
                <w:rFonts w:ascii="Times New Roman" w:hAnsi="Times New Roman"/>
                <w:color w:val="376092" w:themeColor="accent1" w:themeShade="BF"/>
                <w:sz w:val="24"/>
              </w:rPr>
              <w:t>32</w:t>
            </w:r>
          </w:p>
        </w:tc>
        <w:tc>
          <w:tcPr>
            <w:tcW w:w="2880" w:type="dxa"/>
            <w:tcMar>
              <w:top w:w="100" w:type="dxa"/>
              <w:left w:w="150" w:type="dxa"/>
              <w:bottom w:w="100" w:type="dxa"/>
              <w:right w:w="150" w:type="dxa"/>
            </w:tcMar>
          </w:tcPr>
          <w:p w14:paraId="603B069D">
            <w:pPr>
              <w:spacing w:after="0" w:line="240" w:lineRule="auto"/>
              <w:rPr>
                <w:color w:val="376092" w:themeColor="accent1" w:themeShade="BF"/>
              </w:rPr>
            </w:pPr>
            <w:r>
              <w:rPr>
                <w:rFonts w:ascii="Times New Roman" w:hAnsi="Times New Roman"/>
                <w:color w:val="376092" w:themeColor="accent1" w:themeShade="BF"/>
                <w:sz w:val="24"/>
              </w:rPr>
              <w:t>Encompasses information disclosure leaks, configuration weaknesses, and support for outdated crypto protocols.</w:t>
            </w:r>
          </w:p>
        </w:tc>
      </w:tr>
      <w:tr w14:paraId="3A1983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00" w:type="dxa"/>
              <w:left w:w="150" w:type="dxa"/>
              <w:bottom w:w="100" w:type="dxa"/>
              <w:right w:w="150" w:type="dxa"/>
            </w:tcMar>
          </w:tcPr>
          <w:p w14:paraId="546900FF">
            <w:pPr>
              <w:spacing w:after="0" w:line="240" w:lineRule="auto"/>
              <w:rPr>
                <w:color w:val="376092" w:themeColor="accent1" w:themeShade="BF"/>
              </w:rPr>
            </w:pPr>
            <w:r>
              <w:rPr>
                <w:rFonts w:ascii="Times New Roman" w:hAnsi="Times New Roman"/>
                <w:color w:val="376092" w:themeColor="accent1" w:themeShade="BF"/>
                <w:sz w:val="24"/>
              </w:rPr>
              <w:t>Low (CVSS 0.1 - 3.9)</w:t>
            </w:r>
          </w:p>
        </w:tc>
        <w:tc>
          <w:tcPr>
            <w:tcW w:w="2880" w:type="dxa"/>
            <w:tcMar>
              <w:top w:w="100" w:type="dxa"/>
              <w:left w:w="150" w:type="dxa"/>
              <w:bottom w:w="100" w:type="dxa"/>
              <w:right w:w="150" w:type="dxa"/>
            </w:tcMar>
          </w:tcPr>
          <w:p w14:paraId="0E6BC1F5">
            <w:pPr>
              <w:spacing w:after="0" w:line="240" w:lineRule="auto"/>
              <w:rPr>
                <w:color w:val="376092" w:themeColor="accent1" w:themeShade="BF"/>
              </w:rPr>
            </w:pPr>
            <w:r>
              <w:rPr>
                <w:rFonts w:ascii="Times New Roman" w:hAnsi="Times New Roman"/>
                <w:color w:val="376092" w:themeColor="accent1" w:themeShade="BF"/>
                <w:sz w:val="24"/>
              </w:rPr>
              <w:t>5</w:t>
            </w:r>
          </w:p>
        </w:tc>
        <w:tc>
          <w:tcPr>
            <w:tcW w:w="2880" w:type="dxa"/>
            <w:tcMar>
              <w:top w:w="100" w:type="dxa"/>
              <w:left w:w="150" w:type="dxa"/>
              <w:bottom w:w="100" w:type="dxa"/>
              <w:right w:w="150" w:type="dxa"/>
            </w:tcMar>
          </w:tcPr>
          <w:p w14:paraId="56578500">
            <w:pPr>
              <w:spacing w:after="0" w:line="240" w:lineRule="auto"/>
              <w:rPr>
                <w:color w:val="376092" w:themeColor="accent1" w:themeShade="BF"/>
              </w:rPr>
            </w:pPr>
            <w:r>
              <w:rPr>
                <w:rFonts w:ascii="Times New Roman" w:hAnsi="Times New Roman"/>
                <w:color w:val="376092" w:themeColor="accent1" w:themeShade="BF"/>
                <w:sz w:val="24"/>
              </w:rPr>
              <w:t>Minor environmental configuration anomalies, service banner disclosures, and minimal risk leakages.</w:t>
            </w:r>
          </w:p>
        </w:tc>
      </w:tr>
      <w:tr w14:paraId="2D2D274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00" w:type="dxa"/>
              <w:left w:w="150" w:type="dxa"/>
              <w:bottom w:w="100" w:type="dxa"/>
              <w:right w:w="150" w:type="dxa"/>
            </w:tcMar>
          </w:tcPr>
          <w:p w14:paraId="66F961D0">
            <w:pPr>
              <w:spacing w:after="0" w:line="240" w:lineRule="auto"/>
              <w:rPr>
                <w:color w:val="376092" w:themeColor="accent1" w:themeShade="BF"/>
              </w:rPr>
            </w:pPr>
            <w:r>
              <w:rPr>
                <w:rFonts w:ascii="Times New Roman" w:hAnsi="Times New Roman"/>
                <w:color w:val="376092" w:themeColor="accent1" w:themeShade="BF"/>
                <w:sz w:val="24"/>
              </w:rPr>
              <w:t>Log / Informational</w:t>
            </w:r>
          </w:p>
        </w:tc>
        <w:tc>
          <w:tcPr>
            <w:tcW w:w="2880" w:type="dxa"/>
            <w:tcMar>
              <w:top w:w="100" w:type="dxa"/>
              <w:left w:w="150" w:type="dxa"/>
              <w:bottom w:w="100" w:type="dxa"/>
              <w:right w:w="150" w:type="dxa"/>
            </w:tcMar>
          </w:tcPr>
          <w:p w14:paraId="5017B55A">
            <w:pPr>
              <w:spacing w:after="0" w:line="240" w:lineRule="auto"/>
              <w:rPr>
                <w:color w:val="376092" w:themeColor="accent1" w:themeShade="BF"/>
              </w:rPr>
            </w:pPr>
            <w:r>
              <w:rPr>
                <w:rFonts w:ascii="Times New Roman" w:hAnsi="Times New Roman"/>
                <w:color w:val="376092" w:themeColor="accent1" w:themeShade="BF"/>
                <w:sz w:val="24"/>
              </w:rPr>
              <w:t>65</w:t>
            </w:r>
          </w:p>
        </w:tc>
        <w:tc>
          <w:tcPr>
            <w:tcW w:w="2880" w:type="dxa"/>
            <w:tcMar>
              <w:top w:w="100" w:type="dxa"/>
              <w:left w:w="150" w:type="dxa"/>
              <w:bottom w:w="100" w:type="dxa"/>
              <w:right w:w="150" w:type="dxa"/>
            </w:tcMar>
          </w:tcPr>
          <w:p w14:paraId="39B25B9B">
            <w:pPr>
              <w:spacing w:after="0" w:line="240" w:lineRule="auto"/>
              <w:rPr>
                <w:color w:val="376092" w:themeColor="accent1" w:themeShade="BF"/>
              </w:rPr>
            </w:pPr>
            <w:r>
              <w:rPr>
                <w:rFonts w:ascii="Times New Roman" w:hAnsi="Times New Roman"/>
                <w:color w:val="376092" w:themeColor="accent1" w:themeShade="BF"/>
                <w:sz w:val="24"/>
              </w:rPr>
              <w:t>Diagnostic discoveries, open service verification, and general network mapping indicators.</w:t>
            </w:r>
          </w:p>
        </w:tc>
      </w:tr>
      <w:tr w14:paraId="7DE42E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Mar>
              <w:top w:w="100" w:type="dxa"/>
              <w:left w:w="150" w:type="dxa"/>
              <w:bottom w:w="100" w:type="dxa"/>
              <w:right w:w="150" w:type="dxa"/>
            </w:tcMar>
          </w:tcPr>
          <w:p w14:paraId="4130C3B0">
            <w:pPr>
              <w:spacing w:after="0" w:line="240" w:lineRule="auto"/>
              <w:rPr>
                <w:color w:val="376092" w:themeColor="accent1" w:themeShade="BF"/>
              </w:rPr>
            </w:pPr>
            <w:r>
              <w:rPr>
                <w:rFonts w:ascii="Times New Roman" w:hAnsi="Times New Roman"/>
                <w:color w:val="376092" w:themeColor="accent1" w:themeShade="BF"/>
                <w:sz w:val="24"/>
              </w:rPr>
              <w:t>Total Vulnerabilities</w:t>
            </w:r>
          </w:p>
        </w:tc>
        <w:tc>
          <w:tcPr>
            <w:tcW w:w="2880" w:type="dxa"/>
            <w:tcMar>
              <w:top w:w="100" w:type="dxa"/>
              <w:left w:w="150" w:type="dxa"/>
              <w:bottom w:w="100" w:type="dxa"/>
              <w:right w:w="150" w:type="dxa"/>
            </w:tcMar>
          </w:tcPr>
          <w:p w14:paraId="5C2E029F">
            <w:pPr>
              <w:spacing w:after="0" w:line="240" w:lineRule="auto"/>
              <w:rPr>
                <w:color w:val="376092" w:themeColor="accent1" w:themeShade="BF"/>
              </w:rPr>
            </w:pPr>
            <w:r>
              <w:rPr>
                <w:rFonts w:ascii="Times New Roman" w:hAnsi="Times New Roman"/>
                <w:color w:val="376092" w:themeColor="accent1" w:themeShade="BF"/>
                <w:sz w:val="24"/>
              </w:rPr>
              <w:t>123</w:t>
            </w:r>
          </w:p>
        </w:tc>
        <w:tc>
          <w:tcPr>
            <w:tcW w:w="2880" w:type="dxa"/>
            <w:tcMar>
              <w:top w:w="100" w:type="dxa"/>
              <w:left w:w="150" w:type="dxa"/>
              <w:bottom w:w="100" w:type="dxa"/>
              <w:right w:w="150" w:type="dxa"/>
            </w:tcMar>
          </w:tcPr>
          <w:p w14:paraId="4C4BAE6B">
            <w:pPr>
              <w:spacing w:after="0" w:line="240" w:lineRule="auto"/>
              <w:rPr>
                <w:color w:val="376092" w:themeColor="accent1" w:themeShade="BF"/>
              </w:rPr>
            </w:pPr>
            <w:r>
              <w:rPr>
                <w:rFonts w:ascii="Times New Roman" w:hAnsi="Times New Roman"/>
                <w:color w:val="376092" w:themeColor="accent1" w:themeShade="BF"/>
                <w:sz w:val="24"/>
              </w:rPr>
              <w:t>Comprehensive accumulated security findings logged during the active check scan lifecycle.</w:t>
            </w:r>
          </w:p>
        </w:tc>
      </w:tr>
    </w:tbl>
    <w:p w14:paraId="78ED3BC3">
      <w:pPr>
        <w:spacing w:after="120" w:line="276" w:lineRule="auto"/>
      </w:pPr>
    </w:p>
    <w:p w14:paraId="6B9FB95C">
      <w:pPr>
        <w:keepNext/>
        <w:spacing w:before="240" w:after="80"/>
      </w:pPr>
      <w:r>
        <w:rPr>
          <w:rFonts w:ascii="Times New Roman" w:hAnsi="Times New Roman"/>
          <w:b/>
          <w:sz w:val="28"/>
        </w:rPr>
        <w:t>4. Comprehensive Technical Analysis of Critical Vulnerabilities</w:t>
      </w:r>
    </w:p>
    <w:p w14:paraId="7AC599BB">
      <w:pPr>
        <w:spacing w:after="120" w:line="276" w:lineRule="auto"/>
        <w:rPr>
          <w:rFonts w:ascii="Times New Roman" w:hAnsi="Times New Roman"/>
          <w:i w:val="0"/>
          <w:sz w:val="24"/>
        </w:rPr>
      </w:pPr>
      <w:r>
        <w:rPr>
          <w:rFonts w:ascii="Times New Roman" w:hAnsi="Times New Roman"/>
          <w:i w:val="0"/>
          <w:sz w:val="24"/>
        </w:rPr>
        <w:t>The following section presents a detailed evaluation of the critical findings uncovered during the active check sequence on host 192.168.56.101:</w:t>
      </w:r>
    </w:p>
    <w:p w14:paraId="1D658AFA">
      <w:pPr>
        <w:spacing w:after="120" w:line="276" w:lineRule="auto"/>
        <w:rPr>
          <w:rFonts w:ascii="Times New Roman" w:hAnsi="Times New Roman"/>
          <w:i w:val="0"/>
          <w:sz w:val="24"/>
        </w:rPr>
      </w:pPr>
    </w:p>
    <w:p w14:paraId="287B06A5">
      <w:pPr>
        <w:spacing w:after="120" w:line="276" w:lineRule="auto"/>
        <w:rPr>
          <w:rFonts w:ascii="Times New Roman" w:hAnsi="Times New Roman"/>
          <w:i w:val="0"/>
          <w:sz w:val="24"/>
        </w:rPr>
      </w:pPr>
      <w:r>
        <w:rPr>
          <w:rFonts w:ascii="Times New Roman" w:hAnsi="Times New Roman"/>
          <w:b/>
          <w:sz w:val="24"/>
        </w:rPr>
        <w:t>4.1 Operating System End-of-Life (EOL) Detection (Severity: 10.0):</w:t>
      </w:r>
      <w:r>
        <w:rPr>
          <w:rFonts w:ascii="Times New Roman" w:hAnsi="Times New Roman"/>
          <w:i w:val="0"/>
          <w:sz w:val="24"/>
        </w:rPr>
        <w:t xml:space="preserve"> </w:t>
      </w:r>
    </w:p>
    <w:p w14:paraId="05410877">
      <w:pPr>
        <w:spacing w:after="120" w:line="276" w:lineRule="auto"/>
        <w:rPr>
          <w:rFonts w:ascii="Times New Roman" w:hAnsi="Times New Roman"/>
          <w:i w:val="0"/>
          <w:sz w:val="24"/>
        </w:rPr>
      </w:pPr>
      <w:r>
        <w:rPr>
          <w:rFonts w:ascii="Times New Roman" w:hAnsi="Times New Roman"/>
          <w:i w:val="0"/>
          <w:sz w:val="24"/>
        </w:rPr>
        <w:t>The operating system on the target host is explicitly identified as Ubuntu Linux version 8.04. This system reached its formal End of Life (EOL) on May 9, 2013. Because it has been unpatched for over a decade, it remains fundamentally open to dozens of unmitigated operating system-level exploits.</w:t>
      </w:r>
    </w:p>
    <w:p w14:paraId="470D51DC">
      <w:pPr>
        <w:spacing w:after="120" w:line="276" w:lineRule="auto"/>
        <w:rPr>
          <w:rFonts w:ascii="Times New Roman" w:hAnsi="Times New Roman"/>
          <w:i w:val="0"/>
          <w:sz w:val="24"/>
        </w:rPr>
      </w:pPr>
    </w:p>
    <w:p w14:paraId="33871AEF">
      <w:pPr>
        <w:spacing w:after="120" w:line="276" w:lineRule="auto"/>
        <w:rPr>
          <w:rFonts w:ascii="Times New Roman" w:hAnsi="Times New Roman"/>
          <w:i w:val="0"/>
          <w:sz w:val="24"/>
        </w:rPr>
      </w:pPr>
      <w:r>
        <w:rPr>
          <w:rFonts w:ascii="Times New Roman" w:hAnsi="Times New Roman"/>
          <w:b/>
          <w:sz w:val="24"/>
        </w:rPr>
        <w:t>4.2 Pre-Installed System Backdoor - Ingreslock (Port 1524/tcp | Severity: 10.0):</w:t>
      </w:r>
      <w:r>
        <w:rPr>
          <w:rFonts w:ascii="Times New Roman" w:hAnsi="Times New Roman"/>
          <w:i w:val="0"/>
          <w:sz w:val="24"/>
        </w:rPr>
        <w:t xml:space="preserve"> </w:t>
      </w:r>
    </w:p>
    <w:p w14:paraId="43A9D6FD">
      <w:pPr>
        <w:spacing w:after="120" w:line="276" w:lineRule="auto"/>
      </w:pPr>
      <w:r>
        <w:rPr>
          <w:rFonts w:ascii="Times New Roman" w:hAnsi="Times New Roman"/>
          <w:i w:val="0"/>
          <w:sz w:val="24"/>
        </w:rPr>
        <w:t>An active backdoor service responds on port 1524. The scanner issued standard terminal command sequences (`id;`) and received an immediate unauthenticated root response (`uid=0(root) gid=0(root)`), confirming an active and ongoing systemic compromise.</w:t>
      </w:r>
    </w:p>
    <w:p w14:paraId="782F6F56">
      <w:pPr>
        <w:spacing w:after="120" w:line="276" w:lineRule="auto"/>
        <w:rPr>
          <w:rFonts w:ascii="Times New Roman" w:hAnsi="Times New Roman"/>
          <w:i w:val="0"/>
          <w:sz w:val="24"/>
        </w:rPr>
      </w:pPr>
      <w:r>
        <w:rPr>
          <w:rFonts w:ascii="Times New Roman" w:hAnsi="Times New Roman"/>
          <w:b/>
          <w:sz w:val="24"/>
        </w:rPr>
        <w:t>4.3 vsftpd Compromised Source Package Backdoor (Ports 21/tcp &amp; 6200/tcp | Severity: 9.8):</w:t>
      </w:r>
      <w:r>
        <w:rPr>
          <w:rFonts w:ascii="Times New Roman" w:hAnsi="Times New Roman"/>
          <w:i w:val="0"/>
          <w:sz w:val="24"/>
        </w:rPr>
        <w:t xml:space="preserve"> </w:t>
      </w:r>
    </w:p>
    <w:p w14:paraId="667EB52E">
      <w:pPr>
        <w:spacing w:after="120" w:line="276" w:lineRule="auto"/>
      </w:pPr>
      <w:r>
        <w:rPr>
          <w:rFonts w:ascii="Times New Roman" w:hAnsi="Times New Roman"/>
          <w:i w:val="0"/>
          <w:sz w:val="24"/>
        </w:rPr>
        <w:t>The host is running a backdoored version of the vsftpd server (v2.3.4). This specific version contains an intentionally introduced code compromise that opens an unauthenticated interactive shell on port 6200/tcp whenever a specific trigger sequence is received.</w:t>
      </w:r>
    </w:p>
    <w:p w14:paraId="67C94A06">
      <w:pPr>
        <w:spacing w:after="120" w:line="276" w:lineRule="auto"/>
        <w:rPr>
          <w:rFonts w:ascii="Times New Roman" w:hAnsi="Times New Roman"/>
          <w:i w:val="0"/>
          <w:sz w:val="24"/>
        </w:rPr>
      </w:pPr>
      <w:r>
        <w:rPr>
          <w:rFonts w:ascii="Times New Roman" w:hAnsi="Times New Roman"/>
          <w:b/>
          <w:sz w:val="24"/>
        </w:rPr>
        <w:t>4.4 MySQL / MariaDB Null Root Authentication (Port 3306/tcp | Severity: 9.8):</w:t>
      </w:r>
      <w:r>
        <w:rPr>
          <w:rFonts w:ascii="Times New Roman" w:hAnsi="Times New Roman"/>
          <w:i w:val="0"/>
          <w:sz w:val="24"/>
        </w:rPr>
        <w:t xml:space="preserve"> </w:t>
      </w:r>
    </w:p>
    <w:p w14:paraId="54966E45">
      <w:pPr>
        <w:spacing w:after="120" w:line="276" w:lineRule="auto"/>
      </w:pPr>
      <w:r>
        <w:rPr>
          <w:rFonts w:ascii="Times New Roman" w:hAnsi="Times New Roman"/>
          <w:i w:val="0"/>
          <w:sz w:val="24"/>
        </w:rPr>
        <w:t>The remote MySQL server instance allows immediate administrative connection as user `root` with a null/empty password, giving network users complete read, write, and administrative control over database assets.</w:t>
      </w:r>
    </w:p>
    <w:p w14:paraId="298F878E">
      <w:pPr>
        <w:spacing w:after="120" w:line="276" w:lineRule="auto"/>
        <w:rPr>
          <w:rFonts w:ascii="Times New Roman" w:hAnsi="Times New Roman"/>
          <w:b/>
          <w:sz w:val="24"/>
        </w:rPr>
      </w:pPr>
      <w:r>
        <w:rPr>
          <w:rFonts w:ascii="Times New Roman" w:hAnsi="Times New Roman"/>
          <w:b/>
          <w:sz w:val="24"/>
        </w:rPr>
        <w:t>4.5 PostgreSQL Default Credentials Exploitation (Port 5432/tcp | Severity: 9.0):</w:t>
      </w:r>
    </w:p>
    <w:p w14:paraId="49A88DE3">
      <w:pPr>
        <w:spacing w:after="120" w:line="276" w:lineRule="auto"/>
      </w:pPr>
      <w:r>
        <w:rPr>
          <w:rFonts w:ascii="Times New Roman" w:hAnsi="Times New Roman"/>
          <w:i w:val="0"/>
          <w:sz w:val="24"/>
        </w:rPr>
        <w:t xml:space="preserve"> The database instance permits immediate connection as user `postgres` utilizing the default password string `postgres`, exposing internal schemas, transaction logs, and underlying file system commands.</w:t>
      </w:r>
    </w:p>
    <w:p w14:paraId="72C1BDFE">
      <w:pPr>
        <w:spacing w:after="120" w:line="276" w:lineRule="auto"/>
        <w:rPr>
          <w:rFonts w:ascii="Times New Roman" w:hAnsi="Times New Roman"/>
          <w:i w:val="0"/>
          <w:sz w:val="24"/>
        </w:rPr>
      </w:pPr>
      <w:r>
        <w:rPr>
          <w:rFonts w:ascii="Times New Roman" w:hAnsi="Times New Roman"/>
          <w:b/>
          <w:sz w:val="24"/>
        </w:rPr>
        <w:t>4.6 Apache Tomcat AJP Remote Code Execution - Ghostcat (Port 8009/tcp | Severity: 9.8):</w:t>
      </w:r>
      <w:r>
        <w:rPr>
          <w:rFonts w:ascii="Times New Roman" w:hAnsi="Times New Roman"/>
          <w:i w:val="0"/>
          <w:sz w:val="24"/>
        </w:rPr>
        <w:t xml:space="preserve"> </w:t>
      </w:r>
    </w:p>
    <w:p w14:paraId="1A374C7C">
      <w:pPr>
        <w:spacing w:after="120" w:line="276" w:lineRule="auto"/>
      </w:pPr>
      <w:r>
        <w:rPr>
          <w:rFonts w:ascii="Times New Roman" w:hAnsi="Times New Roman"/>
          <w:i w:val="0"/>
          <w:sz w:val="24"/>
        </w:rPr>
        <w:t>The legacy Apache Tomcat instance is running version 5.5, which is vulnerable to the Ghostcat flaw (CVE-2020-1938). This enables an unauthenticated attacker to manipulate the AJP connector to read sensitive configuration structures (`/WEB-INF/web.xml`) and achieve arbitrary remote code execution.</w:t>
      </w:r>
    </w:p>
    <w:p w14:paraId="27D158F7">
      <w:pPr>
        <w:spacing w:after="120" w:line="276" w:lineRule="auto"/>
        <w:rPr>
          <w:rFonts w:ascii="Times New Roman" w:hAnsi="Times New Roman"/>
          <w:i w:val="0"/>
          <w:sz w:val="24"/>
        </w:rPr>
      </w:pPr>
      <w:r>
        <w:rPr>
          <w:rFonts w:ascii="Times New Roman" w:hAnsi="Times New Roman"/>
          <w:b/>
          <w:sz w:val="24"/>
        </w:rPr>
        <w:t>4.7 Distributed Ruby (dRuby/DRb) Multiple RCE Flaws (Port 8787/tcp | Severity: 10.0):</w:t>
      </w:r>
      <w:r>
        <w:rPr>
          <w:rFonts w:ascii="Times New Roman" w:hAnsi="Times New Roman"/>
          <w:i w:val="0"/>
          <w:sz w:val="24"/>
        </w:rPr>
        <w:t xml:space="preserve"> </w:t>
      </w:r>
    </w:p>
    <w:p w14:paraId="7818FE54">
      <w:pPr>
        <w:spacing w:after="120" w:line="276" w:lineRule="auto"/>
      </w:pPr>
      <w:r>
        <w:rPr>
          <w:rFonts w:ascii="Times New Roman" w:hAnsi="Times New Roman"/>
          <w:i w:val="0"/>
          <w:sz w:val="24"/>
        </w:rPr>
        <w:t>The system utilizes Distributed Ruby (dRuby) without authorization access control layers or explicit variable validation ($SAFE), allowing untrusted remote network sockets to bypass standard boundaries and directly trigger system-level commands.</w:t>
      </w:r>
    </w:p>
    <w:p w14:paraId="6EBD71FA">
      <w:pPr>
        <w:spacing w:after="120" w:line="276" w:lineRule="auto"/>
      </w:pPr>
      <w:r>
        <w:rPr>
          <w:rFonts w:ascii="Times New Roman" w:hAnsi="Times New Roman"/>
          <w:b/>
          <w:sz w:val="24"/>
        </w:rPr>
        <w:t>4.8 DistCC Unauthenticated Remote Code Execution (Port 3632/tcp | Severity: 9.3):</w:t>
      </w:r>
      <w:r>
        <w:rPr>
          <w:rFonts w:ascii="Times New Roman" w:hAnsi="Times New Roman"/>
          <w:i w:val="0"/>
          <w:sz w:val="24"/>
        </w:rPr>
        <w:t xml:space="preserve"> The DistCC distributed compilation service is misconfigured to accept inputs from untrusted hosts without source validation. This exposure permits immediate unauthenticated execution of remote compilation calls as the `daemon` user account.</w:t>
      </w:r>
    </w:p>
    <w:p w14:paraId="74DFE50F">
      <w:pPr>
        <w:spacing w:after="120" w:line="276" w:lineRule="auto"/>
        <w:rPr>
          <w:rFonts w:ascii="Times New Roman" w:hAnsi="Times New Roman"/>
          <w:b/>
          <w:sz w:val="24"/>
        </w:rPr>
      </w:pPr>
      <w:r>
        <w:rPr>
          <w:rFonts w:ascii="Times New Roman" w:hAnsi="Times New Roman"/>
          <w:b/>
          <w:sz w:val="24"/>
        </w:rPr>
        <w:t>4.9 Insecure rlogin Passwordless Administrative Session (Port 513/tcp | Severity: 10.0):</w:t>
      </w:r>
    </w:p>
    <w:p w14:paraId="2F569E59">
      <w:pPr>
        <w:spacing w:after="120" w:line="276" w:lineRule="auto"/>
      </w:pPr>
      <w:r>
        <w:rPr>
          <w:rFonts w:ascii="Times New Roman" w:hAnsi="Times New Roman"/>
          <w:i w:val="0"/>
          <w:sz w:val="24"/>
        </w:rPr>
        <w:t xml:space="preserve"> The legacy legacy `rlogin` network facility is explicitly configured to grant unauthenticated, passwordless administrative `root` interaction across the network interface, representing a major structural flaw.</w:t>
      </w:r>
    </w:p>
    <w:p w14:paraId="69A08BCC">
      <w:pPr>
        <w:spacing w:after="120" w:line="276" w:lineRule="auto"/>
        <w:rPr>
          <w:rFonts w:ascii="Times New Roman" w:hAnsi="Times New Roman"/>
          <w:b/>
          <w:sz w:val="24"/>
        </w:rPr>
      </w:pPr>
      <w:r>
        <w:rPr>
          <w:rFonts w:ascii="Times New Roman" w:hAnsi="Times New Roman"/>
          <w:b/>
          <w:sz w:val="24"/>
        </w:rPr>
        <w:t>4.10 rexec Unencrypted Authentication Exposure (Port 512/tcp | Severity: 10.0):</w:t>
      </w:r>
    </w:p>
    <w:p w14:paraId="147A9A09">
      <w:pPr>
        <w:spacing w:after="120" w:line="276" w:lineRule="auto"/>
      </w:pPr>
      <w:r>
        <w:rPr>
          <w:rFonts w:ascii="Times New Roman" w:hAnsi="Times New Roman"/>
          <w:i w:val="0"/>
          <w:sz w:val="24"/>
        </w:rPr>
        <w:t xml:space="preserve"> The unencrypted Remote Execution client utility (`rexec`) is active on the host. This utility passes usernames, execution tokens, and session credentials across the network wire in absolute cleartext format.</w:t>
      </w:r>
    </w:p>
    <w:p w14:paraId="2781F90D">
      <w:pPr>
        <w:spacing w:after="120" w:line="276" w:lineRule="auto"/>
        <w:rPr>
          <w:rFonts w:ascii="Times New Roman" w:hAnsi="Times New Roman"/>
          <w:i w:val="0"/>
          <w:sz w:val="24"/>
        </w:rPr>
      </w:pPr>
      <w:r>
        <w:rPr>
          <w:rFonts w:ascii="Times New Roman" w:hAnsi="Times New Roman"/>
          <w:b/>
          <w:sz w:val="24"/>
        </w:rPr>
        <w:t>4.11 TWiki Web application Script Evaluation and Command Injection (Port 80/tcp | Severity: 10.0):</w:t>
      </w:r>
      <w:r>
        <w:rPr>
          <w:rFonts w:ascii="Times New Roman" w:hAnsi="Times New Roman"/>
          <w:i w:val="0"/>
          <w:sz w:val="24"/>
        </w:rPr>
        <w:t xml:space="preserve"> </w:t>
      </w:r>
    </w:p>
    <w:p w14:paraId="2E7B1702">
      <w:pPr>
        <w:spacing w:after="120" w:line="276" w:lineRule="auto"/>
      </w:pPr>
      <w:r>
        <w:rPr>
          <w:rFonts w:ascii="Times New Roman" w:hAnsi="Times New Roman"/>
          <w:i w:val="0"/>
          <w:sz w:val="24"/>
        </w:rPr>
        <w:t>The installed legacy deployment of the TWiki application (prior to v4.2.4) is highly vulnerable to parameter injection and evaluation flaws. This lets remote actors embed Perl commands or run scripts to hijack administrative user contexts.</w:t>
      </w:r>
    </w:p>
    <w:p w14:paraId="06FD2251">
      <w:pPr>
        <w:spacing w:after="120" w:line="276" w:lineRule="auto"/>
        <w:rPr>
          <w:rFonts w:ascii="Times New Roman" w:hAnsi="Times New Roman"/>
          <w:b/>
          <w:sz w:val="24"/>
        </w:rPr>
      </w:pPr>
      <w:r>
        <w:rPr>
          <w:rFonts w:ascii="Times New Roman" w:hAnsi="Times New Roman"/>
          <w:b/>
          <w:sz w:val="24"/>
        </w:rPr>
        <w:t>4.12 SpamAssassin Milter Plugin Arbitrary Command Injection (Port 25/tcp | Severity: 9.3):</w:t>
      </w:r>
    </w:p>
    <w:p w14:paraId="2DBECFB8">
      <w:pPr>
        <w:spacing w:after="120" w:line="276" w:lineRule="auto"/>
      </w:pPr>
      <w:r>
        <w:rPr>
          <w:rFonts w:ascii="Times New Roman" w:hAnsi="Times New Roman"/>
          <w:i w:val="0"/>
          <w:sz w:val="24"/>
        </w:rPr>
        <w:t xml:space="preserve"> The active SpamAssassin Milter plug-in fails to properly escape inputs passed via the `mlfi_envrcpt()` module. Attackers can embed semicolon execution chains into standard SMTP recipient structures to execute shell commands as root.</w:t>
      </w:r>
    </w:p>
    <w:p w14:paraId="3462F862">
      <w:pPr>
        <w:spacing w:after="120" w:line="276" w:lineRule="auto"/>
        <w:rPr>
          <w:rFonts w:ascii="Times New Roman" w:hAnsi="Times New Roman"/>
          <w:i w:val="0"/>
          <w:sz w:val="24"/>
        </w:rPr>
      </w:pPr>
      <w:r>
        <w:rPr>
          <w:rFonts w:ascii="Times New Roman" w:hAnsi="Times New Roman"/>
          <w:b/>
          <w:sz w:val="24"/>
        </w:rPr>
        <w:t>4.13 Weak VNC Remote Desktop Passwords (Port 5900/tcp | Severity: 9.0):</w:t>
      </w:r>
      <w:r>
        <w:rPr>
          <w:rFonts w:ascii="Times New Roman" w:hAnsi="Times New Roman"/>
          <w:i w:val="0"/>
          <w:sz w:val="24"/>
        </w:rPr>
        <w:t xml:space="preserve"> </w:t>
      </w:r>
    </w:p>
    <w:p w14:paraId="658DC6EC">
      <w:pPr>
        <w:spacing w:after="120" w:line="276" w:lineRule="auto"/>
      </w:pPr>
      <w:r>
        <w:rPr>
          <w:rFonts w:ascii="Times New Roman" w:hAnsi="Times New Roman"/>
          <w:i w:val="0"/>
          <w:sz w:val="24"/>
        </w:rPr>
        <w:t>The VNC remote terminal desktop service is accessible over the network interface and is secured only by a highly weak password string (`password`). An attacker can gain immediate graphical desktop interactive access.</w:t>
      </w:r>
    </w:p>
    <w:p w14:paraId="7FA5FFBC">
      <w:pPr>
        <w:keepNext/>
        <w:spacing w:before="240" w:after="80"/>
      </w:pPr>
      <w:r>
        <w:rPr>
          <w:rFonts w:ascii="Times New Roman" w:hAnsi="Times New Roman"/>
          <w:b/>
          <w:sz w:val="28"/>
        </w:rPr>
        <w:t>5. Strategic Remediation Action Plan</w:t>
      </w:r>
    </w:p>
    <w:p w14:paraId="5C08CC25">
      <w:pPr>
        <w:spacing w:after="120" w:line="276" w:lineRule="auto"/>
      </w:pPr>
      <w:r>
        <w:rPr>
          <w:rFonts w:ascii="Times New Roman" w:hAnsi="Times New Roman"/>
          <w:i w:val="0"/>
          <w:sz w:val="24"/>
        </w:rPr>
        <w:t>Given that the target host contains numerous critical vulnerabilities and active backdoors, patching individual packages sequentially is strongly discouraged. The machine should be considered fully compromised. The following phased plan must be implemented:</w:t>
      </w:r>
    </w:p>
    <w:p w14:paraId="3626ED89">
      <w:pPr>
        <w:numPr>
          <w:ilvl w:val="0"/>
          <w:numId w:val="7"/>
        </w:numPr>
        <w:spacing w:after="120" w:line="276" w:lineRule="auto"/>
        <w:rPr>
          <w:rFonts w:ascii="Times New Roman" w:hAnsi="Times New Roman"/>
          <w:i w:val="0"/>
          <w:sz w:val="24"/>
        </w:rPr>
      </w:pPr>
      <w:r>
        <w:rPr>
          <w:rFonts w:ascii="Times New Roman" w:hAnsi="Times New Roman"/>
          <w:b/>
          <w:sz w:val="24"/>
        </w:rPr>
        <w:t xml:space="preserve">Isolation &amp; Containment (Immediate): </w:t>
      </w:r>
      <w:r>
        <w:rPr>
          <w:rFonts w:ascii="Times New Roman" w:hAnsi="Times New Roman"/>
          <w:i w:val="0"/>
          <w:sz w:val="24"/>
        </w:rPr>
        <w:t xml:space="preserve"> </w:t>
      </w:r>
    </w:p>
    <w:p w14:paraId="4011DB35">
      <w:pPr>
        <w:numPr>
          <w:ilvl w:val="0"/>
          <w:numId w:val="7"/>
        </w:numPr>
        <w:spacing w:after="120" w:line="276" w:lineRule="auto"/>
      </w:pPr>
      <w:r>
        <w:rPr>
          <w:rFonts w:ascii="Times New Roman" w:hAnsi="Times New Roman"/>
          <w:i w:val="0"/>
          <w:sz w:val="24"/>
        </w:rPr>
        <w:t>Immediately disconnect host 192.168.56.101 from any internal or production networks to contain active lateral movement risks.</w:t>
      </w:r>
    </w:p>
    <w:p w14:paraId="6592ACA8">
      <w:pPr>
        <w:numPr>
          <w:ilvl w:val="0"/>
          <w:numId w:val="7"/>
        </w:numPr>
        <w:spacing w:after="120" w:line="276" w:lineRule="auto"/>
        <w:ind w:left="0" w:leftChars="0" w:firstLine="0" w:firstLineChars="0"/>
        <w:rPr>
          <w:rFonts w:ascii="Times New Roman" w:hAnsi="Times New Roman"/>
          <w:b/>
          <w:sz w:val="24"/>
        </w:rPr>
      </w:pPr>
      <w:r>
        <w:rPr>
          <w:rFonts w:ascii="Times New Roman" w:hAnsi="Times New Roman"/>
          <w:b/>
          <w:sz w:val="24"/>
        </w:rPr>
        <w:t>Rebuild Strategy (Recommended):</w:t>
      </w:r>
    </w:p>
    <w:p w14:paraId="64228F39">
      <w:pPr>
        <w:numPr>
          <w:ilvl w:val="0"/>
          <w:numId w:val="7"/>
        </w:numPr>
        <w:spacing w:after="120" w:line="276" w:lineRule="auto"/>
        <w:ind w:left="0" w:leftChars="0" w:firstLine="0" w:firstLineChars="0"/>
      </w:pPr>
      <w:r>
        <w:rPr>
          <w:rFonts w:ascii="Times New Roman" w:hAnsi="Times New Roman"/>
          <w:b/>
          <w:sz w:val="24"/>
        </w:rPr>
        <w:t xml:space="preserve"> </w:t>
      </w:r>
      <w:r>
        <w:rPr>
          <w:rFonts w:ascii="Times New Roman" w:hAnsi="Times New Roman"/>
          <w:i w:val="0"/>
          <w:sz w:val="24"/>
        </w:rPr>
        <w:t xml:space="preserve"> Completely decommission the legacy Ubuntu 8.04 system. Deploy a clean, modern LTS operating system environment (e.g., Ubuntu 24.04 LTS). Do not attempt an in-place upgrade.</w:t>
      </w:r>
    </w:p>
    <w:p w14:paraId="03AB6A92">
      <w:pPr>
        <w:numPr>
          <w:ilvl w:val="0"/>
          <w:numId w:val="8"/>
        </w:numPr>
        <w:spacing w:after="120" w:line="276" w:lineRule="auto"/>
        <w:rPr>
          <w:rFonts w:ascii="Times New Roman" w:hAnsi="Times New Roman"/>
          <w:i w:val="0"/>
          <w:sz w:val="24"/>
        </w:rPr>
      </w:pPr>
      <w:r>
        <w:rPr>
          <w:rFonts w:ascii="Times New Roman" w:hAnsi="Times New Roman"/>
          <w:b/>
          <w:sz w:val="24"/>
        </w:rPr>
        <w:t xml:space="preserve">Protocol Hardening: </w:t>
      </w:r>
      <w:r>
        <w:rPr>
          <w:rFonts w:ascii="Times New Roman" w:hAnsi="Times New Roman"/>
          <w:i w:val="0"/>
          <w:sz w:val="24"/>
        </w:rPr>
        <w:t xml:space="preserve"> </w:t>
      </w:r>
    </w:p>
    <w:p w14:paraId="27593574">
      <w:pPr>
        <w:numPr>
          <w:ilvl w:val="0"/>
          <w:numId w:val="8"/>
        </w:numPr>
        <w:spacing w:after="120" w:line="276" w:lineRule="auto"/>
      </w:pPr>
      <w:r>
        <w:rPr>
          <w:rFonts w:ascii="Times New Roman" w:hAnsi="Times New Roman"/>
          <w:i w:val="0"/>
          <w:sz w:val="24"/>
        </w:rPr>
        <w:t>Completely replace legacy services like `rlogin`, `rexec`, and unauthenticated `AJP` with secure protocols such as SSH utilizing certificate-based key pairs.</w:t>
      </w:r>
    </w:p>
    <w:p w14:paraId="72029306">
      <w:pPr>
        <w:numPr>
          <w:ilvl w:val="0"/>
          <w:numId w:val="8"/>
        </w:numPr>
        <w:spacing w:after="120" w:line="276" w:lineRule="auto"/>
        <w:ind w:left="0" w:leftChars="0" w:firstLine="0" w:firstLineChars="0"/>
        <w:rPr>
          <w:rFonts w:ascii="Times New Roman" w:hAnsi="Times New Roman"/>
          <w:i w:val="0"/>
          <w:sz w:val="24"/>
        </w:rPr>
      </w:pPr>
      <w:r>
        <w:rPr>
          <w:rFonts w:ascii="Times New Roman" w:hAnsi="Times New Roman"/>
          <w:b/>
          <w:sz w:val="24"/>
        </w:rPr>
        <w:t xml:space="preserve">Database and Access Hardening: </w:t>
      </w:r>
      <w:r>
        <w:rPr>
          <w:rFonts w:ascii="Times New Roman" w:hAnsi="Times New Roman"/>
          <w:i w:val="0"/>
          <w:sz w:val="24"/>
        </w:rPr>
        <w:t xml:space="preserve"> </w:t>
      </w:r>
    </w:p>
    <w:p w14:paraId="39F5B06D">
      <w:pPr>
        <w:numPr>
          <w:ilvl w:val="0"/>
          <w:numId w:val="8"/>
        </w:numPr>
        <w:spacing w:after="120" w:line="276" w:lineRule="auto"/>
        <w:ind w:left="0" w:leftChars="0" w:firstLine="0" w:firstLineChars="0"/>
      </w:pPr>
      <w:r>
        <w:rPr>
          <w:rFonts w:ascii="Times New Roman" w:hAnsi="Times New Roman"/>
          <w:i w:val="0"/>
          <w:sz w:val="24"/>
        </w:rPr>
        <w:t>Enforce non-default, high-entropy password strings across all structural storage layers including MySQL, PostgreSQL, and VNC interfaces, and enforce strict local loopback restrictions where applicable.</w:t>
      </w:r>
    </w:p>
    <w:p w14:paraId="4C204A46">
      <w:pPr>
        <w:keepNext/>
        <w:spacing w:before="240" w:after="80"/>
      </w:pPr>
      <w:r>
        <w:rPr>
          <w:rFonts w:ascii="Times New Roman" w:hAnsi="Times New Roman"/>
          <w:b/>
          <w:sz w:val="28"/>
        </w:rPr>
        <w:t>6. Conclusion</w:t>
      </w:r>
    </w:p>
    <w:p w14:paraId="727C2665">
      <w:pPr>
        <w:spacing w:after="120" w:line="276" w:lineRule="auto"/>
      </w:pPr>
      <w:r>
        <w:rPr>
          <w:rFonts w:ascii="Times New Roman" w:hAnsi="Times New Roman"/>
          <w:i w:val="0"/>
          <w:sz w:val="24"/>
        </w:rPr>
        <w:t>The automated OpenVAS assessment successfully identified severe structural deficiencies on the target host. Because Metasploitable2 is designed to be an explicitly vulnerable platform, these findings confirm the accuracy and analytical depth of the OpenVAS network scanning engine. Regular, automated vulnerability assessments combined with proper configuration standards and modern patching lifecycles remain vital to protecting corporate infrastructure from un</w:t>
      </w:r>
      <w:bookmarkStart w:id="0" w:name="_GoBack"/>
      <w:bookmarkEnd w:id="0"/>
      <w:r>
        <w:rPr>
          <w:rFonts w:ascii="Times New Roman" w:hAnsi="Times New Roman"/>
          <w:i w:val="0"/>
          <w:sz w:val="24"/>
        </w:rPr>
        <w:t>authorized exploitation.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6AD8962"/>
    <w:multiLevelType w:val="singleLevel"/>
    <w:tmpl w:val="06AD8962"/>
    <w:lvl w:ilvl="0" w:tentative="0">
      <w:start w:val="1"/>
      <w:numFmt w:val="decimal"/>
      <w:suff w:val="space"/>
      <w:lvlText w:val="%1."/>
      <w:lvlJc w:val="left"/>
    </w:lvl>
  </w:abstractNum>
  <w:abstractNum w:abstractNumId="7">
    <w:nsid w:val="70B4701F"/>
    <w:multiLevelType w:val="singleLevel"/>
    <w:tmpl w:val="70B4701F"/>
    <w:lvl w:ilvl="0" w:tentative="0">
      <w:start w:val="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713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2026-06-23T14:40:27Z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8B6B982931444B3889A37F1A450CA97C_12</vt:lpwstr>
  </property>
</Properties>
</file>