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6B7280"/>
          <w:sz w:val="24"/>
          <w:szCs w:val="24"/>
        </w:rPr>
        <w:t xml:space="preserve">SOFTWARE DESIGN DOCUMENT</w:t>
      </w:r>
    </w:p>
    <w:p>
      <w:pPr>
        <w:spacing w:before="200"/>
        <w:jc w:val="center"/>
      </w:pPr>
      <w:r>
        <w:rPr>
          <w:b/>
          <w:bCs/>
          <w:color w:val="1F3864"/>
          <w:sz w:val="48"/>
          <w:szCs w:val="48"/>
        </w:rPr>
        <w:t xml:space="preserve">Portfolio Risk &amp; Rebalancing Dashboard</w:t>
      </w:r>
    </w:p>
    <w:p>
      <w:pPr>
        <w:spacing w:before="160"/>
        <w:jc w:val="center"/>
      </w:pPr>
      <w:r>
        <w:rPr>
          <w:i/>
          <w:iCs/>
          <w:color w:val="2E5395"/>
          <w:sz w:val="26"/>
          <w:szCs w:val="26"/>
        </w:rPr>
        <w:t xml:space="preserve">A Formula-Driven Full-Stack Finance Engine</w:t>
      </w:r>
    </w:p>
    <w:p>
      <w:pPr>
        <w:spacing w:before="500"/>
        <w:jc w:val="center"/>
      </w:pPr>
      <w:r>
        <w:rPr>
          <w:color w:val="6B7280"/>
          <w:sz w:val="20"/>
          <w:szCs w:val="20"/>
        </w:rPr>
        <w:t xml:space="preserve">Deterministic quantitative finance — no AI/ML in the computation path</w:t>
      </w:r>
    </w:p>
    <w:p>
      <w:pPr>
        <w:spacing w:before="9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7C2D0" w:sz="4"/>
              <w:left w:val="single" w:color="B7C2D0" w:sz="4"/>
              <w:bottom w:val="single" w:color="B7C2D0" w:sz="4"/>
              <w:right w:val="single" w:color="B7C2D0" w:sz="4"/>
            </w:tcBorders>
            <w:shd w:fill="1F3864" w:color="auto" w:val="clear"/>
            <w:tcMar>
              <w:top w:type="dxa" w:w="100"/>
              <w:left w:type="dxa" w:w="120"/>
              <w:bottom w:type="dxa" w:w="100"/>
              <w:right w:type="dxa" w:w="120"/>
            </w:tcMar>
            <w:vAlign w:val="center"/>
          </w:tcPr>
          <w:p>
            <w:r>
              <w:rPr>
                <w:b/>
                <w:bCs/>
                <w:color w:val="FFFFFF"/>
                <w:sz w:val="19"/>
                <w:szCs w:val="19"/>
              </w:rPr>
              <w:t xml:space="preserve">Field</w:t>
            </w:r>
          </w:p>
        </w:tc>
        <w:tc>
          <w:tcPr>
            <w:tcW w:type="dxa" w:w="2800"/>
            <w:tcBorders>
              <w:top w:val="single" w:color="B7C2D0" w:sz="4"/>
              <w:left w:val="single" w:color="B7C2D0" w:sz="4"/>
              <w:bottom w:val="single" w:color="B7C2D0" w:sz="4"/>
              <w:right w:val="single" w:color="B7C2D0" w:sz="4"/>
            </w:tcBorders>
            <w:shd w:fill="1F3864" w:color="auto" w:val="clear"/>
            <w:tcMar>
              <w:top w:type="dxa" w:w="100"/>
              <w:left w:type="dxa" w:w="120"/>
              <w:bottom w:type="dxa" w:w="100"/>
              <w:right w:type="dxa" w:w="120"/>
            </w:tcMar>
            <w:vAlign w:val="center"/>
          </w:tcPr>
          <w:p>
            <w:r>
              <w:rPr>
                <w:b/>
                <w:bCs/>
                <w:color w:val="FFFFFF"/>
                <w:sz w:val="19"/>
                <w:szCs w:val="19"/>
              </w:rPr>
              <w:t xml:space="preserve">Value</w:t>
            </w:r>
          </w:p>
        </w:tc>
      </w:tr>
      <w:tr>
        <w:trPr>
          <w:cantSplit/>
        </w:trPr>
        <w:tc>
          <w:tcPr>
            <w:tcW w:type="dxa" w:w="28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Document Title</w:t>
            </w:r>
          </w:p>
        </w:tc>
        <w:tc>
          <w:tcPr>
            <w:tcW w:type="dxa" w:w="28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Portfolio Risk &amp; Rebalancing Dashboard — Software Design Document</w:t>
            </w:r>
          </w:p>
        </w:tc>
      </w:tr>
      <w:tr>
        <w:trPr>
          <w:cantSplit/>
        </w:trPr>
        <w:tc>
          <w:tcPr>
            <w:tcW w:type="dxa" w:w="28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Document Type</w:t>
            </w:r>
          </w:p>
        </w:tc>
        <w:tc>
          <w:tcPr>
            <w:tcW w:type="dxa" w:w="28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SDD (Software Design Document)</w:t>
            </w:r>
          </w:p>
        </w:tc>
      </w:tr>
      <w:tr>
        <w:trPr>
          <w:cantSplit/>
        </w:trPr>
        <w:tc>
          <w:tcPr>
            <w:tcW w:type="dxa" w:w="28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Version</w:t>
            </w:r>
          </w:p>
        </w:tc>
        <w:tc>
          <w:tcPr>
            <w:tcW w:type="dxa" w:w="28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1.0</w:t>
            </w:r>
          </w:p>
        </w:tc>
      </w:tr>
      <w:tr>
        <w:trPr>
          <w:cantSplit/>
        </w:trPr>
        <w:tc>
          <w:tcPr>
            <w:tcW w:type="dxa" w:w="28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Status</w:t>
            </w:r>
          </w:p>
        </w:tc>
        <w:tc>
          <w:tcPr>
            <w:tcW w:type="dxa" w:w="28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Draft for Implementation</w:t>
            </w:r>
          </w:p>
        </w:tc>
      </w:tr>
      <w:tr>
        <w:trPr>
          <w:cantSplit/>
        </w:trPr>
        <w:tc>
          <w:tcPr>
            <w:tcW w:type="dxa" w:w="28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Date</w:t>
            </w:r>
          </w:p>
        </w:tc>
        <w:tc>
          <w:tcPr>
            <w:tcW w:type="dxa" w:w="28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24 August 2026</w:t>
            </w:r>
          </w:p>
        </w:tc>
      </w:tr>
      <w:tr>
        <w:trPr>
          <w:cantSplit/>
        </w:trPr>
        <w:tc>
          <w:tcPr>
            <w:tcW w:type="dxa" w:w="28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Author</w:t>
            </w:r>
          </w:p>
        </w:tc>
        <w:tc>
          <w:tcPr>
            <w:tcW w:type="dxa" w:w="28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Mudit Dargar (Syncio)</w:t>
            </w:r>
          </w:p>
        </w:tc>
      </w:tr>
      <w:tr>
        <w:trPr>
          <w:cantSplit/>
        </w:trPr>
        <w:tc>
          <w:tcPr>
            <w:tcW w:type="dxa" w:w="28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Classification</w:t>
            </w:r>
          </w:p>
        </w:tc>
        <w:tc>
          <w:tcPr>
            <w:tcW w:type="dxa" w:w="28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Personal / Portfolio Project</w:t>
            </w:r>
          </w:p>
        </w:tc>
      </w:tr>
    </w:tbl>
    <w:p>
      <w:r>
        <w:br w:type="page"/>
      </w:r>
    </w:p>
    <w:p>
      <w:pPr>
        <w:pStyle w:val="Heading1"/>
        <w:pBdr>
          <w:bottom w:val="single" w:color="2E5395" w:sz="6" w:space="4"/>
        </w:pBdr>
        <w:spacing w:after="200" w:before="400"/>
      </w:pPr>
      <w:r>
        <w:rPr>
          <w:b/>
          <w:bCs/>
          <w:color w:val="1F3864"/>
          <w:sz w:val="30"/>
          <w:szCs w:val="30"/>
        </w:rPr>
        <w:t xml:space="preserve">Table of Contents</w:t>
      </w:r>
    </w:p>
    <w:p>
      <w:pPr>
        <w:spacing w:after="80"/>
      </w:pPr>
    </w:p>
    <w:p>
      <w:pPr>
        <w:tabs>
          <w:tab w:val="right" w:pos="9026" w:leader="dot"/>
        </w:tabs>
        <w:spacing w:after="100"/>
      </w:pPr>
      <w:r>
        <w:rPr>
          <w:b/>
          <w:bCs/>
          <w:color w:val="1F3864"/>
          <w:sz w:val="21"/>
          <w:szCs w:val="21"/>
        </w:rPr>
        <w:t xml:space="preserve">1.  Purpose &amp; Scope</w:t>
      </w:r>
      <w:r>
        <w:rPr>
          <w:color w:val="1F3864"/>
          <w:sz w:val="21"/>
          <w:szCs w:val="21"/>
        </w:rPr>
        <w:t xml:space="preserve">	3</w:t>
      </w:r>
    </w:p>
    <w:p>
      <w:pPr>
        <w:tabs>
          <w:tab w:val="right" w:pos="9026" w:leader="dot"/>
        </w:tabs>
        <w:spacing w:after="100"/>
      </w:pPr>
      <w:r>
        <w:rPr>
          <w:b/>
          <w:bCs/>
          <w:color w:val="1F3864"/>
          <w:sz w:val="21"/>
          <w:szCs w:val="21"/>
        </w:rPr>
        <w:t xml:space="preserve">2.  System Overview</w:t>
      </w:r>
      <w:r>
        <w:rPr>
          <w:color w:val="1F3864"/>
          <w:sz w:val="21"/>
          <w:szCs w:val="21"/>
        </w:rPr>
        <w:t xml:space="preserve">	3</w:t>
      </w:r>
    </w:p>
    <w:p>
      <w:pPr>
        <w:tabs>
          <w:tab w:val="right" w:pos="9026" w:leader="dot"/>
        </w:tabs>
        <w:spacing w:after="100"/>
      </w:pPr>
      <w:r>
        <w:rPr>
          <w:b/>
          <w:bCs/>
          <w:color w:val="1F3864"/>
          <w:sz w:val="21"/>
          <w:szCs w:val="21"/>
        </w:rPr>
        <w:t xml:space="preserve">3.  Data Model</w:t>
      </w:r>
      <w:r>
        <w:rPr>
          <w:color w:val="1F3864"/>
          <w:sz w:val="21"/>
          <w:szCs w:val="21"/>
        </w:rPr>
        <w:t xml:space="preserve">	4</w:t>
      </w:r>
    </w:p>
    <w:p>
      <w:pPr>
        <w:tabs>
          <w:tab w:val="right" w:pos="9026" w:leader="dot"/>
        </w:tabs>
        <w:spacing w:after="100"/>
      </w:pPr>
      <w:r>
        <w:rPr>
          <w:b/>
          <w:bCs/>
          <w:color w:val="1F3864"/>
          <w:sz w:val="21"/>
          <w:szCs w:val="21"/>
        </w:rPr>
        <w:t xml:space="preserve">4.  Functional Requirements</w:t>
      </w:r>
      <w:r>
        <w:rPr>
          <w:color w:val="1F3864"/>
          <w:sz w:val="21"/>
          <w:szCs w:val="21"/>
        </w:rPr>
        <w:t xml:space="preserve">	4</w:t>
      </w:r>
    </w:p>
    <w:p>
      <w:pPr>
        <w:tabs>
          <w:tab w:val="right" w:pos="9026" w:leader="dot"/>
        </w:tabs>
        <w:spacing w:after="100"/>
      </w:pPr>
      <w:r>
        <w:rPr>
          <w:b/>
          <w:bCs/>
          <w:color w:val="1F3864"/>
          <w:sz w:val="21"/>
          <w:szCs w:val="21"/>
        </w:rPr>
        <w:t xml:space="preserve">5.  Formula Engine — Complete Specification</w:t>
      </w:r>
      <w:r>
        <w:rPr>
          <w:color w:val="1F3864"/>
          <w:sz w:val="21"/>
          <w:szCs w:val="21"/>
        </w:rPr>
        <w:t xml:space="preserve">	6</w:t>
      </w:r>
    </w:p>
    <w:p>
      <w:pPr>
        <w:tabs>
          <w:tab w:val="right" w:pos="9026" w:leader="dot"/>
        </w:tabs>
        <w:spacing w:after="40"/>
        <w:ind w:left="360"/>
      </w:pPr>
      <w:r>
        <w:rPr>
          <w:b w:val="false"/>
          <w:bCs w:val="false"/>
          <w:color w:val="444444"/>
          <w:sz w:val="19"/>
          <w:szCs w:val="19"/>
        </w:rPr>
        <w:t xml:space="preserve">5.1  Portfolio Expected Return</w:t>
      </w:r>
      <w:r>
        <w:rPr>
          <w:color w:val="444444"/>
          <w:sz w:val="19"/>
          <w:szCs w:val="19"/>
        </w:rPr>
        <w:t xml:space="preserve">	6</w:t>
      </w:r>
    </w:p>
    <w:p>
      <w:pPr>
        <w:tabs>
          <w:tab w:val="right" w:pos="9026" w:leader="dot"/>
        </w:tabs>
        <w:spacing w:after="40"/>
        <w:ind w:left="360"/>
      </w:pPr>
      <w:r>
        <w:rPr>
          <w:b w:val="false"/>
          <w:bCs w:val="false"/>
          <w:color w:val="444444"/>
          <w:sz w:val="19"/>
          <w:szCs w:val="19"/>
        </w:rPr>
        <w:t xml:space="preserve">5.2  Portfolio Variance &amp; Volatility</w:t>
      </w:r>
      <w:r>
        <w:rPr>
          <w:color w:val="444444"/>
          <w:sz w:val="19"/>
          <w:szCs w:val="19"/>
        </w:rPr>
        <w:t xml:space="preserve">	6</w:t>
      </w:r>
    </w:p>
    <w:p>
      <w:pPr>
        <w:tabs>
          <w:tab w:val="right" w:pos="9026" w:leader="dot"/>
        </w:tabs>
        <w:spacing w:after="40"/>
        <w:ind w:left="360"/>
      </w:pPr>
      <w:r>
        <w:rPr>
          <w:b w:val="false"/>
          <w:bCs w:val="false"/>
          <w:color w:val="444444"/>
          <w:sz w:val="19"/>
          <w:szCs w:val="19"/>
        </w:rPr>
        <w:t xml:space="preserve">5.3  Covariance &amp; Correlation</w:t>
      </w:r>
      <w:r>
        <w:rPr>
          <w:color w:val="444444"/>
          <w:sz w:val="19"/>
          <w:szCs w:val="19"/>
        </w:rPr>
        <w:t xml:space="preserve">	6</w:t>
      </w:r>
    </w:p>
    <w:p>
      <w:pPr>
        <w:tabs>
          <w:tab w:val="right" w:pos="9026" w:leader="dot"/>
        </w:tabs>
        <w:spacing w:after="40"/>
        <w:ind w:left="360"/>
      </w:pPr>
      <w:r>
        <w:rPr>
          <w:b w:val="false"/>
          <w:bCs w:val="false"/>
          <w:color w:val="444444"/>
          <w:sz w:val="19"/>
          <w:szCs w:val="19"/>
        </w:rPr>
        <w:t xml:space="preserve">5.4  Sharpe Ratio</w:t>
      </w:r>
      <w:r>
        <w:rPr>
          <w:color w:val="444444"/>
          <w:sz w:val="19"/>
          <w:szCs w:val="19"/>
        </w:rPr>
        <w:t xml:space="preserve">	7</w:t>
      </w:r>
    </w:p>
    <w:p>
      <w:pPr>
        <w:tabs>
          <w:tab w:val="right" w:pos="9026" w:leader="dot"/>
        </w:tabs>
        <w:spacing w:after="40"/>
        <w:ind w:left="360"/>
      </w:pPr>
      <w:r>
        <w:rPr>
          <w:b w:val="false"/>
          <w:bCs w:val="false"/>
          <w:color w:val="444444"/>
          <w:sz w:val="19"/>
          <w:szCs w:val="19"/>
        </w:rPr>
        <w:t xml:space="preserve">5.5  Sortino Ratio</w:t>
      </w:r>
      <w:r>
        <w:rPr>
          <w:color w:val="444444"/>
          <w:sz w:val="19"/>
          <w:szCs w:val="19"/>
        </w:rPr>
        <w:t xml:space="preserve">	7</w:t>
      </w:r>
    </w:p>
    <w:p>
      <w:pPr>
        <w:tabs>
          <w:tab w:val="right" w:pos="9026" w:leader="dot"/>
        </w:tabs>
        <w:spacing w:after="40"/>
        <w:ind w:left="360"/>
      </w:pPr>
      <w:r>
        <w:rPr>
          <w:b w:val="false"/>
          <w:bCs w:val="false"/>
          <w:color w:val="444444"/>
          <w:sz w:val="19"/>
          <w:szCs w:val="19"/>
        </w:rPr>
        <w:t xml:space="preserve">5.6  CAPM Beta &amp; Expected Return</w:t>
      </w:r>
      <w:r>
        <w:rPr>
          <w:color w:val="444444"/>
          <w:sz w:val="19"/>
          <w:szCs w:val="19"/>
        </w:rPr>
        <w:t xml:space="preserve">	8</w:t>
      </w:r>
    </w:p>
    <w:p>
      <w:pPr>
        <w:tabs>
          <w:tab w:val="right" w:pos="9026" w:leader="dot"/>
        </w:tabs>
        <w:spacing w:after="40"/>
        <w:ind w:left="360"/>
      </w:pPr>
      <w:r>
        <w:rPr>
          <w:b w:val="false"/>
          <w:bCs w:val="false"/>
          <w:color w:val="444444"/>
          <w:sz w:val="19"/>
          <w:szCs w:val="19"/>
        </w:rPr>
        <w:t xml:space="preserve">5.7  Jensen's Alpha</w:t>
      </w:r>
      <w:r>
        <w:rPr>
          <w:color w:val="444444"/>
          <w:sz w:val="19"/>
          <w:szCs w:val="19"/>
        </w:rPr>
        <w:t xml:space="preserve">	8</w:t>
      </w:r>
    </w:p>
    <w:p>
      <w:pPr>
        <w:tabs>
          <w:tab w:val="right" w:pos="9026" w:leader="dot"/>
        </w:tabs>
        <w:spacing w:after="40"/>
        <w:ind w:left="360"/>
      </w:pPr>
      <w:r>
        <w:rPr>
          <w:b w:val="false"/>
          <w:bCs w:val="false"/>
          <w:color w:val="444444"/>
          <w:sz w:val="19"/>
          <w:szCs w:val="19"/>
        </w:rPr>
        <w:t xml:space="preserve">5.8  Treynor Ratio</w:t>
      </w:r>
      <w:r>
        <w:rPr>
          <w:color w:val="444444"/>
          <w:sz w:val="19"/>
          <w:szCs w:val="19"/>
        </w:rPr>
        <w:t xml:space="preserve">	8</w:t>
      </w:r>
    </w:p>
    <w:p>
      <w:pPr>
        <w:tabs>
          <w:tab w:val="right" w:pos="9026" w:leader="dot"/>
        </w:tabs>
        <w:spacing w:after="40"/>
        <w:ind w:left="360"/>
      </w:pPr>
      <w:r>
        <w:rPr>
          <w:b w:val="false"/>
          <w:bCs w:val="false"/>
          <w:color w:val="444444"/>
          <w:sz w:val="19"/>
          <w:szCs w:val="19"/>
        </w:rPr>
        <w:t xml:space="preserve">5.9  Value at Risk (VaR)</w:t>
      </w:r>
      <w:r>
        <w:rPr>
          <w:color w:val="444444"/>
          <w:sz w:val="19"/>
          <w:szCs w:val="19"/>
        </w:rPr>
        <w:t xml:space="preserve">	9</w:t>
      </w:r>
    </w:p>
    <w:p>
      <w:pPr>
        <w:tabs>
          <w:tab w:val="right" w:pos="9026" w:leader="dot"/>
        </w:tabs>
        <w:spacing w:after="40"/>
        <w:ind w:left="360"/>
      </w:pPr>
      <w:r>
        <w:rPr>
          <w:b w:val="false"/>
          <w:bCs w:val="false"/>
          <w:color w:val="444444"/>
          <w:sz w:val="19"/>
          <w:szCs w:val="19"/>
        </w:rPr>
        <w:t xml:space="preserve">5.10  Conditional VaR / Expected Shortfall</w:t>
      </w:r>
      <w:r>
        <w:rPr>
          <w:color w:val="444444"/>
          <w:sz w:val="19"/>
          <w:szCs w:val="19"/>
        </w:rPr>
        <w:t xml:space="preserve">	9</w:t>
      </w:r>
    </w:p>
    <w:p>
      <w:pPr>
        <w:tabs>
          <w:tab w:val="right" w:pos="9026" w:leader="dot"/>
        </w:tabs>
        <w:spacing w:after="40"/>
        <w:ind w:left="360"/>
      </w:pPr>
      <w:r>
        <w:rPr>
          <w:b w:val="false"/>
          <w:bCs w:val="false"/>
          <w:color w:val="444444"/>
          <w:sz w:val="19"/>
          <w:szCs w:val="19"/>
        </w:rPr>
        <w:t xml:space="preserve">5.11  Maximum Drawdown</w:t>
      </w:r>
      <w:r>
        <w:rPr>
          <w:color w:val="444444"/>
          <w:sz w:val="19"/>
          <w:szCs w:val="19"/>
        </w:rPr>
        <w:t xml:space="preserve">	9</w:t>
      </w:r>
    </w:p>
    <w:p>
      <w:pPr>
        <w:tabs>
          <w:tab w:val="right" w:pos="9026" w:leader="dot"/>
        </w:tabs>
        <w:spacing w:after="40"/>
        <w:ind w:left="360"/>
      </w:pPr>
      <w:r>
        <w:rPr>
          <w:b w:val="false"/>
          <w:bCs w:val="false"/>
          <w:color w:val="444444"/>
          <w:sz w:val="19"/>
          <w:szCs w:val="19"/>
        </w:rPr>
        <w:t xml:space="preserve">5.12  CAGR (Compound Annual Growth Rate)</w:t>
      </w:r>
      <w:r>
        <w:rPr>
          <w:color w:val="444444"/>
          <w:sz w:val="19"/>
          <w:szCs w:val="19"/>
        </w:rPr>
        <w:t xml:space="preserve">	10</w:t>
      </w:r>
    </w:p>
    <w:p>
      <w:pPr>
        <w:tabs>
          <w:tab w:val="right" w:pos="9026" w:leader="dot"/>
        </w:tabs>
        <w:spacing w:after="40"/>
        <w:ind w:left="360"/>
      </w:pPr>
      <w:r>
        <w:rPr>
          <w:b w:val="false"/>
          <w:bCs w:val="false"/>
          <w:color w:val="444444"/>
          <w:sz w:val="19"/>
          <w:szCs w:val="19"/>
        </w:rPr>
        <w:t xml:space="preserve">5.13  XIRR (Irregular Cash Flows)</w:t>
      </w:r>
      <w:r>
        <w:rPr>
          <w:color w:val="444444"/>
          <w:sz w:val="19"/>
          <w:szCs w:val="19"/>
        </w:rPr>
        <w:t xml:space="preserve">	10</w:t>
      </w:r>
    </w:p>
    <w:p>
      <w:pPr>
        <w:tabs>
          <w:tab w:val="right" w:pos="9026" w:leader="dot"/>
        </w:tabs>
        <w:spacing w:after="40"/>
        <w:ind w:left="360"/>
      </w:pPr>
      <w:r>
        <w:rPr>
          <w:b w:val="false"/>
          <w:bCs w:val="false"/>
          <w:color w:val="444444"/>
          <w:sz w:val="19"/>
          <w:szCs w:val="19"/>
        </w:rPr>
        <w:t xml:space="preserve">5.14  Rebalancing Drift &amp; Trigger Logic</w:t>
      </w:r>
      <w:r>
        <w:rPr>
          <w:color w:val="444444"/>
          <w:sz w:val="19"/>
          <w:szCs w:val="19"/>
        </w:rPr>
        <w:t xml:space="preserve">	10</w:t>
      </w:r>
    </w:p>
    <w:p>
      <w:pPr>
        <w:tabs>
          <w:tab w:val="right" w:pos="9026" w:leader="dot"/>
        </w:tabs>
        <w:spacing w:after="40"/>
        <w:ind w:left="360"/>
      </w:pPr>
      <w:r>
        <w:rPr>
          <w:b w:val="false"/>
          <w:bCs w:val="false"/>
          <w:color w:val="444444"/>
          <w:sz w:val="19"/>
          <w:szCs w:val="19"/>
        </w:rPr>
        <w:t xml:space="preserve">5.15  Markowitz Mean-Variance Optimization (Efficient Frontier)</w:t>
      </w:r>
      <w:r>
        <w:rPr>
          <w:color w:val="444444"/>
          <w:sz w:val="19"/>
          <w:szCs w:val="19"/>
        </w:rPr>
        <w:t xml:space="preserve">	11</w:t>
      </w:r>
    </w:p>
    <w:p>
      <w:pPr>
        <w:tabs>
          <w:tab w:val="right" w:pos="9026" w:leader="dot"/>
        </w:tabs>
        <w:spacing w:after="100"/>
      </w:pPr>
      <w:r>
        <w:rPr>
          <w:b/>
          <w:bCs/>
          <w:color w:val="1F3864"/>
          <w:sz w:val="21"/>
          <w:szCs w:val="21"/>
        </w:rPr>
        <w:t xml:space="preserve">6.  API Design</w:t>
      </w:r>
      <w:r>
        <w:rPr>
          <w:color w:val="1F3864"/>
          <w:sz w:val="21"/>
          <w:szCs w:val="21"/>
        </w:rPr>
        <w:t xml:space="preserve">	12</w:t>
      </w:r>
    </w:p>
    <w:p>
      <w:pPr>
        <w:tabs>
          <w:tab w:val="right" w:pos="9026" w:leader="dot"/>
        </w:tabs>
        <w:spacing w:after="100"/>
      </w:pPr>
      <w:r>
        <w:rPr>
          <w:b/>
          <w:bCs/>
          <w:color w:val="1F3864"/>
          <w:sz w:val="21"/>
          <w:szCs w:val="21"/>
        </w:rPr>
        <w:t xml:space="preserve">7.  Frontend Architecture</w:t>
      </w:r>
      <w:r>
        <w:rPr>
          <w:color w:val="1F3864"/>
          <w:sz w:val="21"/>
          <w:szCs w:val="21"/>
        </w:rPr>
        <w:t xml:space="preserve">	12</w:t>
      </w:r>
    </w:p>
    <w:p>
      <w:pPr>
        <w:tabs>
          <w:tab w:val="right" w:pos="9026" w:leader="dot"/>
        </w:tabs>
        <w:spacing w:after="100"/>
      </w:pPr>
      <w:r>
        <w:rPr>
          <w:b/>
          <w:bCs/>
          <w:color w:val="1F3864"/>
          <w:sz w:val="21"/>
          <w:szCs w:val="21"/>
        </w:rPr>
        <w:t xml:space="preserve">8.  Non-Functional Requirements</w:t>
      </w:r>
      <w:r>
        <w:rPr>
          <w:color w:val="1F3864"/>
          <w:sz w:val="21"/>
          <w:szCs w:val="21"/>
        </w:rPr>
        <w:t xml:space="preserve">	13</w:t>
      </w:r>
    </w:p>
    <w:p>
      <w:pPr>
        <w:tabs>
          <w:tab w:val="right" w:pos="9026" w:leader="dot"/>
        </w:tabs>
        <w:spacing w:after="100"/>
      </w:pPr>
      <w:r>
        <w:rPr>
          <w:b/>
          <w:bCs/>
          <w:color w:val="1F3864"/>
          <w:sz w:val="21"/>
          <w:szCs w:val="21"/>
        </w:rPr>
        <w:t xml:space="preserve">9.  Tech Stack</w:t>
      </w:r>
      <w:r>
        <w:rPr>
          <w:color w:val="1F3864"/>
          <w:sz w:val="21"/>
          <w:szCs w:val="21"/>
        </w:rPr>
        <w:t xml:space="preserve">	13</w:t>
      </w:r>
    </w:p>
    <w:p>
      <w:pPr>
        <w:tabs>
          <w:tab w:val="right" w:pos="9026" w:leader="dot"/>
        </w:tabs>
        <w:spacing w:after="100"/>
      </w:pPr>
      <w:r>
        <w:rPr>
          <w:b/>
          <w:bCs/>
          <w:color w:val="1F3864"/>
          <w:sz w:val="21"/>
          <w:szCs w:val="21"/>
        </w:rPr>
        <w:t xml:space="preserve">10.  Testing Strategy</w:t>
      </w:r>
      <w:r>
        <w:rPr>
          <w:color w:val="1F3864"/>
          <w:sz w:val="21"/>
          <w:szCs w:val="21"/>
        </w:rPr>
        <w:t xml:space="preserve">	14</w:t>
      </w:r>
    </w:p>
    <w:p>
      <w:pPr>
        <w:tabs>
          <w:tab w:val="right" w:pos="9026" w:leader="dot"/>
        </w:tabs>
        <w:spacing w:after="100"/>
      </w:pPr>
      <w:r>
        <w:rPr>
          <w:b/>
          <w:bCs/>
          <w:color w:val="1F3864"/>
          <w:sz w:val="21"/>
          <w:szCs w:val="21"/>
        </w:rPr>
        <w:t xml:space="preserve">11.  Rollout Plan</w:t>
      </w:r>
      <w:r>
        <w:rPr>
          <w:color w:val="1F3864"/>
          <w:sz w:val="21"/>
          <w:szCs w:val="21"/>
        </w:rPr>
        <w:t xml:space="preserve">	14</w:t>
      </w:r>
    </w:p>
    <w:p>
      <w:r>
        <w:br w:type="page"/>
      </w:r>
    </w:p>
    <w:p>
      <w:pPr>
        <w:pStyle w:val="Heading1"/>
        <w:pBdr>
          <w:bottom w:val="single" w:color="2E5395" w:sz="6" w:space="4"/>
        </w:pBdr>
        <w:spacing w:after="200" w:before="400"/>
      </w:pPr>
      <w:r>
        <w:rPr>
          <w:b/>
          <w:bCs/>
          <w:color w:val="1F3864"/>
          <w:sz w:val="30"/>
          <w:szCs w:val="30"/>
        </w:rPr>
        <w:t xml:space="preserve">1. Purpose &amp; Scope</w:t>
      </w:r>
    </w:p>
    <w:p>
      <w:pPr>
        <w:pStyle w:val="Heading2"/>
        <w:spacing w:after="140" w:before="300"/>
      </w:pPr>
      <w:r>
        <w:rPr>
          <w:b/>
          <w:bCs/>
          <w:color w:val="2E5395"/>
          <w:sz w:val="25"/>
          <w:szCs w:val="25"/>
        </w:rPr>
        <w:t xml:space="preserve">1.1 Purpose</w:t>
      </w:r>
    </w:p>
    <w:p>
      <w:pPr>
        <w:spacing w:after="120" w:line="288"/>
      </w:pPr>
      <w:r>
        <w:rPr>
          <w:color w:val="222222"/>
          <w:sz w:val="21"/>
          <w:szCs w:val="21"/>
        </w:rPr>
        <w:t xml:space="preserve">This document specifies the design of a Portfolio Risk &amp; Rebalancing Dashboard: a full-stack application that ingests a user's holdings and historical price data, and computes a complete set of quantitative-finance metrics used by real portfolio managers, robo-advisors, and risk desks. Every number shown to the user is produced by a closed-form formula or a deterministic numerical method (Newton-Raphson root-finding, quadratic programming) — there is no machine learning, prediction, or AI model anywhere in the computation path.</w:t>
      </w:r>
    </w:p>
    <w:p>
      <w:pPr>
        <w:pStyle w:val="Heading2"/>
        <w:spacing w:after="140" w:before="300"/>
      </w:pPr>
      <w:r>
        <w:rPr>
          <w:b/>
          <w:bCs/>
          <w:color w:val="2E5395"/>
          <w:sz w:val="25"/>
          <w:szCs w:val="25"/>
        </w:rPr>
        <w:t xml:space="preserve">1.2 In Scope</w:t>
      </w:r>
    </w:p>
    <w:p>
      <w:pPr>
        <w:pStyle w:val="ListParagraph"/>
        <w:numPr>
          <w:ilvl w:val="0"/>
          <w:numId w:val="2"/>
        </w:numPr>
        <w:spacing w:after="60"/>
      </w:pPr>
      <w:r>
        <w:rPr>
          <w:color w:val="222222"/>
          <w:sz w:val="21"/>
          <w:szCs w:val="21"/>
        </w:rPr>
        <w:t xml:space="preserve">Portfolio construction and holdings management (assets, quantities, cost basis, buy dates).</w:t>
      </w:r>
    </w:p>
    <w:p>
      <w:pPr>
        <w:pStyle w:val="ListParagraph"/>
        <w:numPr>
          <w:ilvl w:val="0"/>
          <w:numId w:val="2"/>
        </w:numPr>
        <w:spacing w:after="60"/>
      </w:pPr>
      <w:r>
        <w:rPr>
          <w:color w:val="222222"/>
          <w:sz w:val="21"/>
          <w:szCs w:val="21"/>
        </w:rPr>
        <w:t xml:space="preserve">Historical price ingestion and rolling-window statistics (mean, variance, covariance).</w:t>
      </w:r>
    </w:p>
    <w:p>
      <w:pPr>
        <w:pStyle w:val="ListParagraph"/>
        <w:numPr>
          <w:ilvl w:val="0"/>
          <w:numId w:val="2"/>
        </w:numPr>
        <w:spacing w:after="60"/>
      </w:pPr>
      <w:r>
        <w:rPr>
          <w:color w:val="222222"/>
          <w:sz w:val="21"/>
          <w:szCs w:val="21"/>
        </w:rPr>
        <w:t xml:space="preserve">Risk &amp; performance metrics: Sharpe, Sortino, Treynor, Alpha, Beta, VaR, CVaR, Max Drawdown, CAGR, XIRR.</w:t>
      </w:r>
    </w:p>
    <w:p>
      <w:pPr>
        <w:pStyle w:val="ListParagraph"/>
        <w:numPr>
          <w:ilvl w:val="0"/>
          <w:numId w:val="2"/>
        </w:numPr>
        <w:spacing w:after="60"/>
      </w:pPr>
      <w:r>
        <w:rPr>
          <w:color w:val="222222"/>
          <w:sz w:val="21"/>
          <w:szCs w:val="21"/>
        </w:rPr>
        <w:t xml:space="preserve">Rebalancing engine: drift detection, trigger thresholds, and trade-sizing suggestions.</w:t>
      </w:r>
    </w:p>
    <w:p>
      <w:pPr>
        <w:pStyle w:val="ListParagraph"/>
        <w:numPr>
          <w:ilvl w:val="0"/>
          <w:numId w:val="2"/>
        </w:numPr>
        <w:spacing w:after="60"/>
      </w:pPr>
      <w:r>
        <w:rPr>
          <w:color w:val="222222"/>
          <w:sz w:val="21"/>
          <w:szCs w:val="21"/>
        </w:rPr>
        <w:t xml:space="preserve">Markowitz mean-variance optimization and efficient-frontier generation.</w:t>
      </w:r>
    </w:p>
    <w:p>
      <w:pPr>
        <w:pStyle w:val="ListParagraph"/>
        <w:numPr>
          <w:ilvl w:val="0"/>
          <w:numId w:val="2"/>
        </w:numPr>
        <w:spacing w:after="60"/>
      </w:pPr>
      <w:r>
        <w:rPr>
          <w:color w:val="222222"/>
          <w:sz w:val="21"/>
          <w:szCs w:val="21"/>
        </w:rPr>
        <w:t xml:space="preserve">A React/TypeScript frontend with live, formula-driven recomputation as the user edits inputs.</w:t>
      </w:r>
    </w:p>
    <w:p>
      <w:pPr>
        <w:pStyle w:val="Heading2"/>
        <w:spacing w:after="140" w:before="300"/>
      </w:pPr>
      <w:r>
        <w:rPr>
          <w:b/>
          <w:bCs/>
          <w:color w:val="2E5395"/>
          <w:sz w:val="25"/>
          <w:szCs w:val="25"/>
        </w:rPr>
        <w:t xml:space="preserve">1.3 Out of Scope</w:t>
      </w:r>
    </w:p>
    <w:p>
      <w:pPr>
        <w:pStyle w:val="ListParagraph"/>
        <w:numPr>
          <w:ilvl w:val="0"/>
          <w:numId w:val="2"/>
        </w:numPr>
        <w:spacing w:after="60"/>
      </w:pPr>
      <w:r>
        <w:rPr>
          <w:color w:val="222222"/>
          <w:sz w:val="21"/>
          <w:szCs w:val="21"/>
        </w:rPr>
        <w:t xml:space="preserve">No AI/ML-based return prediction, forecasting models, or recommendation engines.</w:t>
      </w:r>
    </w:p>
    <w:p>
      <w:pPr>
        <w:pStyle w:val="ListParagraph"/>
        <w:numPr>
          <w:ilvl w:val="0"/>
          <w:numId w:val="2"/>
        </w:numPr>
        <w:spacing w:after="60"/>
      </w:pPr>
      <w:r>
        <w:rPr>
          <w:color w:val="222222"/>
          <w:sz w:val="21"/>
          <w:szCs w:val="21"/>
        </w:rPr>
        <w:t xml:space="preserve">No live broker order execution — rebalancing output is advisory (suggested trades only).</w:t>
      </w:r>
    </w:p>
    <w:p>
      <w:pPr>
        <w:pStyle w:val="ListParagraph"/>
        <w:numPr>
          <w:ilvl w:val="0"/>
          <w:numId w:val="2"/>
        </w:numPr>
        <w:spacing w:after="60"/>
      </w:pPr>
      <w:r>
        <w:rPr>
          <w:color w:val="222222"/>
          <w:sz w:val="21"/>
          <w:szCs w:val="21"/>
        </w:rPr>
        <w:t xml:space="preserve">No multi-currency support in v1 (single base currency, INR).</w:t>
      </w:r>
    </w:p>
    <w:p>
      <w:pPr>
        <w:pStyle w:val="ListParagraph"/>
        <w:numPr>
          <w:ilvl w:val="0"/>
          <w:numId w:val="2"/>
        </w:numPr>
        <w:spacing w:after="60"/>
      </w:pPr>
      <w:r>
        <w:rPr>
          <w:color w:val="222222"/>
          <w:sz w:val="21"/>
          <w:szCs w:val="21"/>
        </w:rPr>
        <w:t xml:space="preserve">No tax-lot optimization (FIFO/LIFO tax-harvesting logic) — flagged as a v2 candidate.</w:t>
      </w:r>
    </w:p>
    <w:p>
      <w:pPr>
        <w:pStyle w:val="Heading1"/>
        <w:pBdr>
          <w:bottom w:val="single" w:color="2E5395" w:sz="6" w:space="4"/>
        </w:pBdr>
        <w:spacing w:after="200" w:before="400"/>
      </w:pPr>
      <w:r>
        <w:rPr>
          <w:b/>
          <w:bCs/>
          <w:color w:val="1F3864"/>
          <w:sz w:val="30"/>
          <w:szCs w:val="30"/>
        </w:rPr>
        <w:t xml:space="preserve">2. System Overview</w:t>
      </w:r>
    </w:p>
    <w:p>
      <w:pPr>
        <w:spacing w:after="120" w:line="288"/>
      </w:pPr>
      <w:r>
        <w:rPr>
          <w:color w:val="222222"/>
          <w:sz w:val="21"/>
          <w:szCs w:val="21"/>
        </w:rPr>
        <w:t xml:space="preserve">The system is a classic three-tier architecture. The frontend is a React/TypeScript SPA that lets a user build a portfolio and drag allocation sliders. Every input change calls a stateless FastAPI endpoint that runs the relevant formula(s) against the portfolio's price history and returns results in under 200ms. A PostgreSQL database holds append-only price history and transaction ledgers so that every historical metric (drawdown, XIRR) can be recomputed exactly, and Redis caches the covariance matrix per portfolio so it isn't recomputed on every keystroke.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2D0" w:sz="4"/>
              <w:left w:val="single" w:color="B7C2D0" w:sz="4"/>
              <w:bottom w:val="single" w:color="B7C2D0" w:sz="4"/>
              <w:right w:val="single" w:color="B7C2D0" w:sz="4"/>
            </w:tcBorders>
            <w:shd w:fill="F4F6FA" w:color="auto" w:val="clear"/>
            <w:tcMar>
              <w:top w:type="dxa" w:w="140"/>
              <w:left w:type="dxa" w:w="200"/>
              <w:bottom w:type="dxa" w:w="140"/>
              <w:right w:type="dxa" w:w="200"/>
            </w:tcMar>
          </w:tcPr>
          <w:p>
            <w:pPr>
              <w:spacing w:after="60"/>
            </w:pPr>
            <w:r>
              <w:rPr>
                <w:rFonts w:ascii="Consolas" w:cs="Consolas" w:eastAsia="Consolas" w:hAnsi="Consolas"/>
                <w:b/>
                <w:bCs/>
                <w:color w:val="1F3864"/>
                <w:sz w:val="21"/>
                <w:szCs w:val="21"/>
              </w:rPr>
              <w:t xml:space="preserve">Client (React/TS)</w:t>
            </w:r>
          </w:p>
          <w:p>
            <w:pPr>
              <w:spacing w:after="60"/>
            </w:pPr>
            <w:r>
              <w:rPr>
                <w:rFonts w:ascii="Consolas" w:cs="Consolas" w:eastAsia="Consolas" w:hAnsi="Consolas"/>
                <w:b w:val="false"/>
                <w:bCs w:val="false"/>
                <w:color w:val="1F3864"/>
                <w:sz w:val="21"/>
                <w:szCs w:val="21"/>
              </w:rPr>
              <w:t xml:space="preserve">   |  HTTPS / JSON (typed via generated OpenAPI client)</w:t>
            </w:r>
          </w:p>
          <w:p>
            <w:pPr>
              <w:spacing w:after="60"/>
            </w:pPr>
            <w:r>
              <w:rPr>
                <w:rFonts w:ascii="Consolas" w:cs="Consolas" w:eastAsia="Consolas" w:hAnsi="Consolas"/>
                <w:b w:val="false"/>
                <w:bCs w:val="false"/>
                <w:color w:val="1F3864"/>
                <w:sz w:val="21"/>
                <w:szCs w:val="21"/>
              </w:rPr>
              <w:t xml:space="preserve">   v</w:t>
            </w:r>
          </w:p>
          <w:p>
            <w:pPr>
              <w:spacing w:after="60"/>
            </w:pPr>
            <w:r>
              <w:rPr>
                <w:rFonts w:ascii="Consolas" w:cs="Consolas" w:eastAsia="Consolas" w:hAnsi="Consolas"/>
                <w:b w:val="false"/>
                <w:bCs w:val="false"/>
                <w:color w:val="1F3864"/>
                <w:sz w:val="21"/>
                <w:szCs w:val="21"/>
              </w:rPr>
              <w:t xml:space="preserve">FastAPI Gateway  ---&gt;  Formula Engine (NumPy / SciPy, pure functions)</w:t>
            </w:r>
          </w:p>
          <w:p>
            <w:pPr>
              <w:spacing w:after="60"/>
            </w:pPr>
            <w:r>
              <w:rPr>
                <w:rFonts w:ascii="Consolas" w:cs="Consolas" w:eastAsia="Consolas" w:hAnsi="Consolas"/>
                <w:b w:val="false"/>
                <w:bCs w:val="false"/>
                <w:color w:val="1F3864"/>
                <w:sz w:val="21"/>
                <w:szCs w:val="21"/>
              </w:rPr>
              <w:t xml:space="preserve">   |                        |</w:t>
            </w:r>
          </w:p>
          <w:p>
            <w:pPr>
              <w:spacing w:after="60"/>
            </w:pPr>
            <w:r>
              <w:rPr>
                <w:rFonts w:ascii="Consolas" w:cs="Consolas" w:eastAsia="Consolas" w:hAnsi="Consolas"/>
                <w:b w:val="false"/>
                <w:bCs w:val="false"/>
                <w:color w:val="1F3864"/>
                <w:sz w:val="21"/>
                <w:szCs w:val="21"/>
              </w:rPr>
              <w:t xml:space="preserve">   v                        v</w:t>
            </w:r>
          </w:p>
          <w:p>
            <w:pPr>
              <w:spacing w:after="60"/>
            </w:pPr>
            <w:r>
              <w:rPr>
                <w:rFonts w:ascii="Consolas" w:cs="Consolas" w:eastAsia="Consolas" w:hAnsi="Consolas"/>
                <w:b w:val="false"/>
                <w:bCs w:val="false"/>
                <w:color w:val="1F3864"/>
                <w:sz w:val="21"/>
                <w:szCs w:val="21"/>
              </w:rPr>
              <w:t xml:space="preserve">PostgreSQL              Redis (covariance-matrix / metric cache)</w:t>
            </w:r>
          </w:p>
          <w:p>
            <w:pPr>
              <w:spacing w:after="60"/>
            </w:pPr>
            <w:r>
              <w:rPr>
                <w:rFonts w:ascii="Consolas" w:cs="Consolas" w:eastAsia="Consolas" w:hAnsi="Consolas"/>
                <w:b w:val="false"/>
                <w:bCs w:val="false"/>
                <w:color w:val="1F3864"/>
                <w:sz w:val="21"/>
                <w:szCs w:val="21"/>
              </w:rPr>
              <w:t xml:space="preserve">(prices, holdings,</w:t>
            </w:r>
          </w:p>
          <w:p>
            <w:pPr>
              <w:spacing w:after="0"/>
            </w:pPr>
            <w:r>
              <w:rPr>
                <w:rFonts w:ascii="Consolas" w:cs="Consolas" w:eastAsia="Consolas" w:hAnsi="Consolas"/>
                <w:b w:val="false"/>
                <w:bCs w:val="false"/>
                <w:color w:val="1F3864"/>
                <w:sz w:val="21"/>
                <w:szCs w:val="21"/>
              </w:rPr>
              <w:t xml:space="preserve"> transactions — append-only)</w:t>
            </w:r>
          </w:p>
        </w:tc>
      </w:tr>
    </w:tbl>
    <w:p>
      <w:pPr>
        <w:pStyle w:val="Heading1"/>
        <w:pBdr>
          <w:bottom w:val="single" w:color="2E5395" w:sz="6" w:space="4"/>
        </w:pBdr>
        <w:spacing w:after="200" w:before="400"/>
      </w:pPr>
      <w:r>
        <w:rPr>
          <w:b/>
          <w:bCs/>
          <w:color w:val="1F3864"/>
          <w:sz w:val="30"/>
          <w:szCs w:val="30"/>
        </w:rPr>
        <w:t xml:space="preserve">3. Data Model</w:t>
      </w:r>
    </w:p>
    <w:p>
      <w:pPr>
        <w:spacing w:after="120" w:line="288"/>
      </w:pPr>
      <w:r>
        <w:rPr>
          <w:color w:val="222222"/>
          <w:sz w:val="21"/>
          <w:szCs w:val="21"/>
        </w:rPr>
        <w:t xml:space="preserve">Core entities, expressed as Pydantic v2 models on the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2D0" w:sz="4"/>
              <w:left w:val="single" w:color="B7C2D0" w:sz="4"/>
              <w:bottom w:val="single" w:color="B7C2D0" w:sz="4"/>
              <w:right w:val="single" w:color="B7C2D0" w:sz="4"/>
            </w:tcBorders>
            <w:shd w:fill="F4F6FA" w:color="auto" w:val="clear"/>
            <w:tcMar>
              <w:top w:type="dxa" w:w="140"/>
              <w:left w:type="dxa" w:w="200"/>
              <w:bottom w:type="dxa" w:w="140"/>
              <w:right w:type="dxa" w:w="200"/>
            </w:tcMar>
          </w:tcPr>
          <w:p>
            <w:pPr>
              <w:spacing w:after="60"/>
            </w:pPr>
            <w:r>
              <w:rPr>
                <w:rFonts w:ascii="Consolas" w:cs="Consolas" w:eastAsia="Consolas" w:hAnsi="Consolas"/>
                <w:b/>
                <w:bCs/>
                <w:color w:val="1F3864"/>
                <w:sz w:val="21"/>
                <w:szCs w:val="21"/>
              </w:rPr>
              <w:t xml:space="preserve">class Asset(BaseModel):</w:t>
            </w:r>
          </w:p>
          <w:p>
            <w:pPr>
              <w:spacing w:after="60"/>
            </w:pPr>
            <w:r>
              <w:rPr>
                <w:rFonts w:ascii="Consolas" w:cs="Consolas" w:eastAsia="Consolas" w:hAnsi="Consolas"/>
                <w:b w:val="false"/>
                <w:bCs w:val="false"/>
                <w:color w:val="1F3864"/>
                <w:sz w:val="21"/>
                <w:szCs w:val="21"/>
              </w:rPr>
              <w:t xml:space="preserve">    symbol: str</w:t>
            </w:r>
          </w:p>
          <w:p>
            <w:pPr>
              <w:spacing w:after="60"/>
            </w:pPr>
            <w:r>
              <w:rPr>
                <w:rFonts w:ascii="Consolas" w:cs="Consolas" w:eastAsia="Consolas" w:hAnsi="Consolas"/>
                <w:b w:val="false"/>
                <w:bCs w:val="false"/>
                <w:color w:val="1F3864"/>
                <w:sz w:val="21"/>
                <w:szCs w:val="21"/>
              </w:rPr>
              <w:t xml:space="preserve">    name: str</w:t>
            </w:r>
          </w:p>
          <w:p>
            <w:pPr>
              <w:spacing w:after="60"/>
            </w:pPr>
            <w:r>
              <w:rPr>
                <w:rFonts w:ascii="Consolas" w:cs="Consolas" w:eastAsia="Consolas" w:hAnsi="Consolas"/>
                <w:b w:val="false"/>
                <w:bCs w:val="false"/>
                <w:color w:val="1F3864"/>
                <w:sz w:val="21"/>
                <w:szCs w:val="21"/>
              </w:rPr>
              <w:t xml:space="preserve">    asset_class: Literal['equity','debt','gold','reit','cash']</w:t>
            </w:r>
          </w:p>
          <w:p>
            <w:pPr>
              <w:spacing w:after="60"/>
            </w:pPr>
            <w:r>
              <w:rPr>
                <w:rFonts w:ascii="Consolas" w:cs="Consolas" w:eastAsia="Consolas" w:hAnsi="Consolas"/>
                <w:b w:val="false"/>
                <w:bCs w:val="false"/>
                <w:color w:val="1F3864"/>
                <w:sz w:val="21"/>
                <w:szCs w:val="21"/>
              </w:rPr>
              <w:t xml:space="preserve"/>
            </w:r>
          </w:p>
          <w:p>
            <w:pPr>
              <w:spacing w:after="60"/>
            </w:pPr>
            <w:r>
              <w:rPr>
                <w:rFonts w:ascii="Consolas" w:cs="Consolas" w:eastAsia="Consolas" w:hAnsi="Consolas"/>
                <w:b w:val="false"/>
                <w:bCs w:val="false"/>
                <w:color w:val="1F3864"/>
                <w:sz w:val="21"/>
                <w:szCs w:val="21"/>
              </w:rPr>
              <w:t xml:space="preserve">class Holding(BaseModel):</w:t>
            </w:r>
          </w:p>
          <w:p>
            <w:pPr>
              <w:spacing w:after="60"/>
            </w:pPr>
            <w:r>
              <w:rPr>
                <w:rFonts w:ascii="Consolas" w:cs="Consolas" w:eastAsia="Consolas" w:hAnsi="Consolas"/>
                <w:b w:val="false"/>
                <w:bCs w:val="false"/>
                <w:color w:val="1F3864"/>
                <w:sz w:val="21"/>
                <w:szCs w:val="21"/>
              </w:rPr>
              <w:t xml:space="preserve">    portfolio_id: UUID</w:t>
            </w:r>
          </w:p>
          <w:p>
            <w:pPr>
              <w:spacing w:after="60"/>
            </w:pPr>
            <w:r>
              <w:rPr>
                <w:rFonts w:ascii="Consolas" w:cs="Consolas" w:eastAsia="Consolas" w:hAnsi="Consolas"/>
                <w:b w:val="false"/>
                <w:bCs w:val="false"/>
                <w:color w:val="1F3864"/>
                <w:sz w:val="21"/>
                <w:szCs w:val="21"/>
              </w:rPr>
              <w:t xml:space="preserve">    asset_symbol: str</w:t>
            </w:r>
          </w:p>
          <w:p>
            <w:pPr>
              <w:spacing w:after="60"/>
            </w:pPr>
            <w:r>
              <w:rPr>
                <w:rFonts w:ascii="Consolas" w:cs="Consolas" w:eastAsia="Consolas" w:hAnsi="Consolas"/>
                <w:b w:val="false"/>
                <w:bCs w:val="false"/>
                <w:color w:val="1F3864"/>
                <w:sz w:val="21"/>
                <w:szCs w:val="21"/>
              </w:rPr>
              <w:t xml:space="preserve">    quantity: Decimal</w:t>
            </w:r>
          </w:p>
          <w:p>
            <w:pPr>
              <w:spacing w:after="60"/>
            </w:pPr>
            <w:r>
              <w:rPr>
                <w:rFonts w:ascii="Consolas" w:cs="Consolas" w:eastAsia="Consolas" w:hAnsi="Consolas"/>
                <w:b w:val="false"/>
                <w:bCs w:val="false"/>
                <w:color w:val="1F3864"/>
                <w:sz w:val="21"/>
                <w:szCs w:val="21"/>
              </w:rPr>
              <w:t xml:space="preserve">    target_weight: float          # 0..1, sums to 1 across portfolio</w:t>
            </w:r>
          </w:p>
          <w:p>
            <w:pPr>
              <w:spacing w:after="60"/>
            </w:pPr>
            <w:r>
              <w:rPr>
                <w:rFonts w:ascii="Consolas" w:cs="Consolas" w:eastAsia="Consolas" w:hAnsi="Consolas"/>
                <w:b w:val="false"/>
                <w:bCs w:val="false"/>
                <w:color w:val="1F3864"/>
                <w:sz w:val="21"/>
                <w:szCs w:val="21"/>
              </w:rPr>
              <w:t xml:space="preserve"/>
            </w:r>
          </w:p>
          <w:p>
            <w:pPr>
              <w:spacing w:after="60"/>
            </w:pPr>
            <w:r>
              <w:rPr>
                <w:rFonts w:ascii="Consolas" w:cs="Consolas" w:eastAsia="Consolas" w:hAnsi="Consolas"/>
                <w:b w:val="false"/>
                <w:bCs w:val="false"/>
                <w:color w:val="1F3864"/>
                <w:sz w:val="21"/>
                <w:szCs w:val="21"/>
              </w:rPr>
              <w:t xml:space="preserve">class PricePoint(BaseModel):</w:t>
            </w:r>
          </w:p>
          <w:p>
            <w:pPr>
              <w:spacing w:after="60"/>
            </w:pPr>
            <w:r>
              <w:rPr>
                <w:rFonts w:ascii="Consolas" w:cs="Consolas" w:eastAsia="Consolas" w:hAnsi="Consolas"/>
                <w:b w:val="false"/>
                <w:bCs w:val="false"/>
                <w:color w:val="1F3864"/>
                <w:sz w:val="21"/>
                <w:szCs w:val="21"/>
              </w:rPr>
              <w:t xml:space="preserve">    asset_symbol: str</w:t>
            </w:r>
          </w:p>
          <w:p>
            <w:pPr>
              <w:spacing w:after="60"/>
            </w:pPr>
            <w:r>
              <w:rPr>
                <w:rFonts w:ascii="Consolas" w:cs="Consolas" w:eastAsia="Consolas" w:hAnsi="Consolas"/>
                <w:b w:val="false"/>
                <w:bCs w:val="false"/>
                <w:color w:val="1F3864"/>
                <w:sz w:val="21"/>
                <w:szCs w:val="21"/>
              </w:rPr>
              <w:t xml:space="preserve">    date: date</w:t>
            </w:r>
          </w:p>
          <w:p>
            <w:pPr>
              <w:spacing w:after="60"/>
            </w:pPr>
            <w:r>
              <w:rPr>
                <w:rFonts w:ascii="Consolas" w:cs="Consolas" w:eastAsia="Consolas" w:hAnsi="Consolas"/>
                <w:b w:val="false"/>
                <w:bCs w:val="false"/>
                <w:color w:val="1F3864"/>
                <w:sz w:val="21"/>
                <w:szCs w:val="21"/>
              </w:rPr>
              <w:t xml:space="preserve">    close_price: Decimal          # append-only, never mutated</w:t>
            </w:r>
          </w:p>
          <w:p>
            <w:pPr>
              <w:spacing w:after="60"/>
            </w:pPr>
            <w:r>
              <w:rPr>
                <w:rFonts w:ascii="Consolas" w:cs="Consolas" w:eastAsia="Consolas" w:hAnsi="Consolas"/>
                <w:b w:val="false"/>
                <w:bCs w:val="false"/>
                <w:color w:val="1F3864"/>
                <w:sz w:val="21"/>
                <w:szCs w:val="21"/>
              </w:rPr>
              <w:t xml:space="preserve"/>
            </w:r>
          </w:p>
          <w:p>
            <w:pPr>
              <w:spacing w:after="60"/>
            </w:pPr>
            <w:r>
              <w:rPr>
                <w:rFonts w:ascii="Consolas" w:cs="Consolas" w:eastAsia="Consolas" w:hAnsi="Consolas"/>
                <w:b w:val="false"/>
                <w:bCs w:val="false"/>
                <w:color w:val="1F3864"/>
                <w:sz w:val="21"/>
                <w:szCs w:val="21"/>
              </w:rPr>
              <w:t xml:space="preserve">class CashFlow(BaseModel):</w:t>
            </w:r>
          </w:p>
          <w:p>
            <w:pPr>
              <w:spacing w:after="60"/>
            </w:pPr>
            <w:r>
              <w:rPr>
                <w:rFonts w:ascii="Consolas" w:cs="Consolas" w:eastAsia="Consolas" w:hAnsi="Consolas"/>
                <w:b w:val="false"/>
                <w:bCs w:val="false"/>
                <w:color w:val="1F3864"/>
                <w:sz w:val="21"/>
                <w:szCs w:val="21"/>
              </w:rPr>
              <w:t xml:space="preserve">    portfolio_id: UUID</w:t>
            </w:r>
          </w:p>
          <w:p>
            <w:pPr>
              <w:spacing w:after="60"/>
            </w:pPr>
            <w:r>
              <w:rPr>
                <w:rFonts w:ascii="Consolas" w:cs="Consolas" w:eastAsia="Consolas" w:hAnsi="Consolas"/>
                <w:b w:val="false"/>
                <w:bCs w:val="false"/>
                <w:color w:val="1F3864"/>
                <w:sz w:val="21"/>
                <w:szCs w:val="21"/>
              </w:rPr>
              <w:t xml:space="preserve">    date: date</w:t>
            </w:r>
          </w:p>
          <w:p>
            <w:pPr>
              <w:spacing w:after="60"/>
            </w:pPr>
            <w:r>
              <w:rPr>
                <w:rFonts w:ascii="Consolas" w:cs="Consolas" w:eastAsia="Consolas" w:hAnsi="Consolas"/>
                <w:b w:val="false"/>
                <w:bCs w:val="false"/>
                <w:color w:val="1F3864"/>
                <w:sz w:val="21"/>
                <w:szCs w:val="21"/>
              </w:rPr>
              <w:t xml:space="preserve">    amount: Decimal               # + deposit / - withdrawal, for XIRR</w:t>
            </w:r>
          </w:p>
          <w:p>
            <w:pPr>
              <w:spacing w:after="60"/>
            </w:pPr>
            <w:r>
              <w:rPr>
                <w:rFonts w:ascii="Consolas" w:cs="Consolas" w:eastAsia="Consolas" w:hAnsi="Consolas"/>
                <w:b w:val="false"/>
                <w:bCs w:val="false"/>
                <w:color w:val="1F3864"/>
                <w:sz w:val="21"/>
                <w:szCs w:val="21"/>
              </w:rPr>
              <w:t xml:space="preserve"/>
            </w:r>
          </w:p>
          <w:p>
            <w:pPr>
              <w:spacing w:after="60"/>
            </w:pPr>
            <w:r>
              <w:rPr>
                <w:rFonts w:ascii="Consolas" w:cs="Consolas" w:eastAsia="Consolas" w:hAnsi="Consolas"/>
                <w:b w:val="false"/>
                <w:bCs w:val="false"/>
                <w:color w:val="1F3864"/>
                <w:sz w:val="21"/>
                <w:szCs w:val="21"/>
              </w:rPr>
              <w:t xml:space="preserve">class RebalanceEvent(BaseModel):</w:t>
            </w:r>
          </w:p>
          <w:p>
            <w:pPr>
              <w:spacing w:after="60"/>
            </w:pPr>
            <w:r>
              <w:rPr>
                <w:rFonts w:ascii="Consolas" w:cs="Consolas" w:eastAsia="Consolas" w:hAnsi="Consolas"/>
                <w:b w:val="false"/>
                <w:bCs w:val="false"/>
                <w:color w:val="1F3864"/>
                <w:sz w:val="21"/>
                <w:szCs w:val="21"/>
              </w:rPr>
              <w:t xml:space="preserve">    portfolio_id: UUID</w:t>
            </w:r>
          </w:p>
          <w:p>
            <w:pPr>
              <w:spacing w:after="60"/>
            </w:pPr>
            <w:r>
              <w:rPr>
                <w:rFonts w:ascii="Consolas" w:cs="Consolas" w:eastAsia="Consolas" w:hAnsi="Consolas"/>
                <w:b w:val="false"/>
                <w:bCs w:val="false"/>
                <w:color w:val="1F3864"/>
                <w:sz w:val="21"/>
                <w:szCs w:val="21"/>
              </w:rPr>
              <w:t xml:space="preserve">    triggered_at: datetime</w:t>
            </w:r>
          </w:p>
          <w:p>
            <w:pPr>
              <w:spacing w:after="60"/>
            </w:pPr>
            <w:r>
              <w:rPr>
                <w:rFonts w:ascii="Consolas" w:cs="Consolas" w:eastAsia="Consolas" w:hAnsi="Consolas"/>
                <w:b w:val="false"/>
                <w:bCs w:val="false"/>
                <w:color w:val="1F3864"/>
                <w:sz w:val="21"/>
                <w:szCs w:val="21"/>
              </w:rPr>
              <w:t xml:space="preserve">    drifts: dict[str, float]      # symbol -&gt; drift at trigger time</w:t>
            </w:r>
          </w:p>
          <w:p>
            <w:pPr>
              <w:spacing w:after="0"/>
            </w:pPr>
            <w:r>
              <w:rPr>
                <w:rFonts w:ascii="Consolas" w:cs="Consolas" w:eastAsia="Consolas" w:hAnsi="Consolas"/>
                <w:b w:val="false"/>
                <w:bCs w:val="false"/>
                <w:color w:val="1F3864"/>
                <w:sz w:val="21"/>
                <w:szCs w:val="21"/>
              </w:rPr>
              <w:t xml:space="preserve">    suggested_trades: dict[str, Decimal]</w:t>
            </w:r>
          </w:p>
        </w:tc>
      </w:tr>
    </w:tbl>
    <w:p>
      <w:pPr>
        <w:pStyle w:val="Heading1"/>
        <w:pBdr>
          <w:bottom w:val="single" w:color="2E5395" w:sz="6" w:space="4"/>
        </w:pBdr>
        <w:spacing w:after="200" w:before="400"/>
      </w:pPr>
      <w:r>
        <w:rPr>
          <w:b/>
          <w:bCs/>
          <w:color w:val="1F3864"/>
          <w:sz w:val="30"/>
          <w:szCs w:val="30"/>
        </w:rPr>
        <w:t xml:space="preserve">4.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400"/>
        <w:gridCol w:w="1726"/>
      </w:tblGrid>
      <w:tr>
        <w:trPr>
          <w:tblHeader/>
        </w:trPr>
        <w:tc>
          <w:tcPr>
            <w:tcW w:type="dxa" w:w="900"/>
            <w:tcBorders>
              <w:top w:val="single" w:color="B7C2D0" w:sz="4"/>
              <w:left w:val="single" w:color="B7C2D0" w:sz="4"/>
              <w:bottom w:val="single" w:color="B7C2D0" w:sz="4"/>
              <w:right w:val="single" w:color="B7C2D0" w:sz="4"/>
            </w:tcBorders>
            <w:shd w:fill="1F3864" w:color="auto" w:val="clear"/>
            <w:tcMar>
              <w:top w:type="dxa" w:w="100"/>
              <w:left w:type="dxa" w:w="120"/>
              <w:bottom w:type="dxa" w:w="100"/>
              <w:right w:type="dxa" w:w="120"/>
            </w:tcMar>
            <w:vAlign w:val="center"/>
          </w:tcPr>
          <w:p>
            <w:r>
              <w:rPr>
                <w:b/>
                <w:bCs/>
                <w:color w:val="FFFFFF"/>
                <w:sz w:val="19"/>
                <w:szCs w:val="19"/>
              </w:rPr>
              <w:t xml:space="preserve">ID</w:t>
            </w:r>
          </w:p>
        </w:tc>
        <w:tc>
          <w:tcPr>
            <w:tcW w:type="dxa" w:w="900"/>
            <w:tcBorders>
              <w:top w:val="single" w:color="B7C2D0" w:sz="4"/>
              <w:left w:val="single" w:color="B7C2D0" w:sz="4"/>
              <w:bottom w:val="single" w:color="B7C2D0" w:sz="4"/>
              <w:right w:val="single" w:color="B7C2D0" w:sz="4"/>
            </w:tcBorders>
            <w:shd w:fill="1F3864" w:color="auto" w:val="clear"/>
            <w:tcMar>
              <w:top w:type="dxa" w:w="100"/>
              <w:left w:type="dxa" w:w="120"/>
              <w:bottom w:type="dxa" w:w="100"/>
              <w:right w:type="dxa" w:w="120"/>
            </w:tcMar>
            <w:vAlign w:val="center"/>
          </w:tcPr>
          <w:p>
            <w:r>
              <w:rPr>
                <w:b/>
                <w:bCs/>
                <w:color w:val="FFFFFF"/>
                <w:sz w:val="19"/>
                <w:szCs w:val="19"/>
              </w:rPr>
              <w:t xml:space="preserve">Requirement</w:t>
            </w:r>
          </w:p>
        </w:tc>
        <w:tc>
          <w:tcPr>
            <w:tcW w:type="dxa" w:w="900"/>
            <w:tcBorders>
              <w:top w:val="single" w:color="B7C2D0" w:sz="4"/>
              <w:left w:val="single" w:color="B7C2D0" w:sz="4"/>
              <w:bottom w:val="single" w:color="B7C2D0" w:sz="4"/>
              <w:right w:val="single" w:color="B7C2D0" w:sz="4"/>
            </w:tcBorders>
            <w:shd w:fill="1F3864" w:color="auto" w:val="clear"/>
            <w:tcMar>
              <w:top w:type="dxa" w:w="100"/>
              <w:left w:type="dxa" w:w="120"/>
              <w:bottom w:type="dxa" w:w="100"/>
              <w:right w:type="dxa" w:w="120"/>
            </w:tcMar>
            <w:vAlign w:val="center"/>
          </w:tcPr>
          <w:p>
            <w:r>
              <w:rPr>
                <w:b/>
                <w:bCs/>
                <w:color w:val="FFFFFF"/>
                <w:sz w:val="19"/>
                <w:szCs w:val="19"/>
              </w:rPr>
              <w:t xml:space="preserve">Priority</w:t>
            </w:r>
          </w:p>
        </w:tc>
      </w:tr>
      <w:tr>
        <w:trPr>
          <w:cantSplit/>
        </w:trPr>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FR-1</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User can create a portfolio and add assets with quantity, buy price, and buy date.</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P0</w:t>
            </w:r>
          </w:p>
        </w:tc>
      </w:tr>
      <w:tr>
        <w:trPr>
          <w:cantSplit/>
        </w:trPr>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FR-2</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System ingests/stores historical daily price series per asset.</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P0</w:t>
            </w:r>
          </w:p>
        </w:tc>
      </w:tr>
      <w:tr>
        <w:trPr>
          <w:cantSplit/>
        </w:trPr>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FR-3</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System computes expected return, variance, volatility, and covariance matrix for a portfolio.</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P0</w:t>
            </w:r>
          </w:p>
        </w:tc>
      </w:tr>
      <w:tr>
        <w:trPr>
          <w:cantSplit/>
        </w:trPr>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FR-4</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System computes Sharpe, Sortino, Treynor ratios and Jensen's Alpha.</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P0</w:t>
            </w:r>
          </w:p>
        </w:tc>
      </w:tr>
      <w:tr>
        <w:trPr>
          <w:cantSplit/>
        </w:trPr>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FR-5</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System computes CAPM beta per asset against a benchmark index (e.g. NIFTY 50).</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P0</w:t>
            </w:r>
          </w:p>
        </w:tc>
      </w:tr>
      <w:tr>
        <w:trPr>
          <w:cantSplit/>
        </w:trPr>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FR-6</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System computes parametric and historical VaR, plus Conditional VaR (Expected Shortfall).</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P0</w:t>
            </w:r>
          </w:p>
        </w:tc>
      </w:tr>
      <w:tr>
        <w:trPr>
          <w:cantSplit/>
        </w:trPr>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FR-7</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System computes Maximum Drawdown and CAGR over any selected window.</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P1</w:t>
            </w:r>
          </w:p>
        </w:tc>
      </w:tr>
      <w:tr>
        <w:trPr>
          <w:cantSplit/>
        </w:trPr>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FR-8</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System computes XIRR for portfolios with irregular cash flows (SIP-style deposits).</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P1</w:t>
            </w:r>
          </w:p>
        </w:tc>
      </w:tr>
      <w:tr>
        <w:trPr>
          <w:cantSplit/>
        </w:trPr>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FR-9</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System detects allocation drift against target weights and flags/executes rebalancing suggestions.</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P0</w:t>
            </w:r>
          </w:p>
        </w:tc>
      </w:tr>
      <w:tr>
        <w:trPr>
          <w:cantSplit/>
        </w:trPr>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FR-10</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System computes the efficient frontier (Markowitz mean-variance optimization) for a given asset universe.</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P1</w:t>
            </w:r>
          </w:p>
        </w:tc>
      </w:tr>
      <w:tr>
        <w:trPr>
          <w:cantSplit/>
        </w:trPr>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FR-11</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Frontend renders all metrics live as the user edits weights, with sub-200ms recompute round-trip.</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P0</w:t>
            </w:r>
          </w:p>
        </w:tc>
      </w:tr>
      <w:tr>
        <w:trPr>
          <w:cantSplit/>
        </w:trPr>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FR-12</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System supports scenario/what-if mode — user drags a weight slider and sees all metrics update.</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P1</w:t>
            </w:r>
          </w:p>
        </w:tc>
      </w:tr>
    </w:tbl>
    <w:p>
      <w:pPr>
        <w:spacing w:after="200"/>
      </w:pPr>
    </w:p>
    <w:p>
      <w:r>
        <w:br w:type="page"/>
      </w:r>
    </w:p>
    <w:p>
      <w:pPr>
        <w:pStyle w:val="Heading1"/>
        <w:pBdr>
          <w:bottom w:val="single" w:color="2E5395" w:sz="6" w:space="4"/>
        </w:pBdr>
        <w:spacing w:after="200" w:before="400"/>
      </w:pPr>
      <w:r>
        <w:rPr>
          <w:b/>
          <w:bCs/>
          <w:color w:val="1F3864"/>
          <w:sz w:val="30"/>
          <w:szCs w:val="30"/>
        </w:rPr>
        <w:t xml:space="preserve">5. Formula Engine — Complete Specification</w:t>
      </w:r>
    </w:p>
    <w:p>
      <w:pPr>
        <w:spacing w:after="120" w:line="288"/>
      </w:pPr>
      <w:r>
        <w:rPr>
          <w:color w:val="222222"/>
          <w:sz w:val="21"/>
          <w:szCs w:val="21"/>
        </w:rPr>
        <w:t xml:space="preserve">This is the core of the system. Each metric below is implemented as a pure, unit-tested function that takes portfolio arrays as input and returns a float or array — no external calls, no randomness, fully deterministic and reproducible.</w:t>
      </w:r>
    </w:p>
    <w:p>
      <w:pPr>
        <w:pStyle w:val="Heading3"/>
        <w:spacing w:after="100" w:before="220"/>
      </w:pPr>
      <w:r>
        <w:rPr>
          <w:b/>
          <w:bCs/>
          <w:color w:val="1F3864"/>
          <w:sz w:val="22"/>
          <w:szCs w:val="22"/>
        </w:rPr>
        <w:t xml:space="preserve">5.1 Portfolio Expected Return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2D0" w:sz="4"/>
              <w:left w:val="single" w:color="B7C2D0" w:sz="4"/>
              <w:bottom w:val="single" w:color="B7C2D0" w:sz="4"/>
              <w:right w:val="single" w:color="B7C2D0" w:sz="4"/>
            </w:tcBorders>
            <w:shd w:fill="F4F6FA" w:color="auto" w:val="clear"/>
            <w:tcMar>
              <w:top w:type="dxa" w:w="140"/>
              <w:left w:type="dxa" w:w="200"/>
              <w:bottom w:type="dxa" w:w="140"/>
              <w:right w:type="dxa" w:w="200"/>
            </w:tcMar>
          </w:tcPr>
          <w:p>
            <w:pPr>
              <w:spacing w:after="0"/>
            </w:pPr>
            <w:r>
              <w:rPr>
                <w:rFonts w:ascii="Consolas" w:cs="Consolas" w:eastAsia="Consolas" w:hAnsi="Consolas"/>
                <w:b/>
                <w:bCs/>
                <w:color w:val="1F3864"/>
                <w:sz w:val="21"/>
                <w:szCs w:val="21"/>
              </w:rPr>
              <w:t xml:space="preserve">E(Rp) = Σ [i=1..n]  wi × E(Ri)</w:t>
            </w:r>
          </w:p>
        </w:tc>
      </w:tr>
    </w:tbl>
    <w:p>
      <w:pPr>
        <w:spacing w:after="80"/>
      </w:pPr>
    </w:p>
    <w:p>
      <w:pPr>
        <w:spacing w:after="60" w:before="100"/>
      </w:pPr>
      <w:r>
        <w:rPr>
          <w:b/>
          <w:bCs/>
          <w:color w:val="6B7280"/>
          <w:sz w:val="19"/>
          <w:szCs w:val="19"/>
        </w:rPr>
        <w:t xml:space="preserve">Variables</w:t>
      </w:r>
    </w:p>
    <w:p>
      <w:pPr>
        <w:pStyle w:val="ListParagraph"/>
        <w:numPr>
          <w:ilvl w:val="0"/>
          <w:numId w:val="2"/>
        </w:numPr>
        <w:spacing w:after="60"/>
      </w:pPr>
      <w:r>
        <w:rPr>
          <w:color w:val="222222"/>
          <w:sz w:val="21"/>
          <w:szCs w:val="21"/>
        </w:rPr>
        <w:t xml:space="preserve">wi — weight of asset i in the portfolio (Σ wi = 1)</w:t>
      </w:r>
    </w:p>
    <w:p>
      <w:pPr>
        <w:pStyle w:val="ListParagraph"/>
        <w:numPr>
          <w:ilvl w:val="0"/>
          <w:numId w:val="2"/>
        </w:numPr>
        <w:spacing w:after="60"/>
      </w:pPr>
      <w:r>
        <w:rPr>
          <w:color w:val="222222"/>
          <w:sz w:val="21"/>
          <w:szCs w:val="21"/>
        </w:rPr>
        <w:t xml:space="preserve">E(Ri) — expected return of asset i (typically the historical mean daily/annual return)</w:t>
      </w:r>
    </w:p>
    <w:p>
      <w:pPr>
        <w:spacing w:after="60" w:before="100"/>
      </w:pPr>
      <w:r>
        <w:rPr>
          <w:b/>
          <w:bCs/>
          <w:color w:val="6B7280"/>
          <w:sz w:val="19"/>
          <w:szCs w:val="19"/>
        </w:rPr>
        <w:t xml:space="preserve">Real-World Use</w:t>
      </w:r>
    </w:p>
    <w:p>
      <w:pPr>
        <w:spacing w:after="120" w:line="288"/>
      </w:pPr>
      <w:r>
        <w:rPr>
          <w:color w:val="222222"/>
          <w:sz w:val="21"/>
          <w:szCs w:val="21"/>
        </w:rPr>
        <w:t xml:space="preserve">The baseline projection every portfolio manager and robo-advisor computes before making any allocation decision — the blended return the whole portfolio is expected to generate.</w:t>
      </w:r>
    </w:p>
    <w:p>
      <w:pPr>
        <w:spacing w:after="60" w:before="100"/>
      </w:pPr>
      <w:r>
        <w:rPr>
          <w:b/>
          <w:bCs/>
          <w:color w:val="6B7280"/>
          <w:sz w:val="19"/>
          <w:szCs w:val="19"/>
        </w:rPr>
        <w:t xml:space="preserve">Worked Example</w:t>
      </w:r>
    </w:p>
    <w:p>
      <w:pPr>
        <w:spacing w:after="120" w:line="288"/>
      </w:pPr>
      <w:r>
        <w:rPr>
          <w:color w:val="222222"/>
          <w:sz w:val="21"/>
          <w:szCs w:val="21"/>
        </w:rPr>
        <w:t xml:space="preserve">Weights 40% / 35% / 25% with expected returns 12% / 8% / 15% → E(Rp) = 0.40(12) + 0.35(8) + 0.25(15) = 4.8 + 2.8 + 3.75 = 11.35%</w:t>
      </w:r>
    </w:p>
    <w:p>
      <w:pPr>
        <w:spacing w:after="200"/>
      </w:pPr>
    </w:p>
    <w:p>
      <w:pPr>
        <w:pStyle w:val="Heading3"/>
        <w:spacing w:after="100" w:before="220"/>
      </w:pPr>
      <w:r>
        <w:rPr>
          <w:b/>
          <w:bCs/>
          <w:color w:val="1F3864"/>
          <w:sz w:val="22"/>
          <w:szCs w:val="22"/>
        </w:rPr>
        <w:t xml:space="preserve">5.2 Portfolio Variance &amp; Volatility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2D0" w:sz="4"/>
              <w:left w:val="single" w:color="B7C2D0" w:sz="4"/>
              <w:bottom w:val="single" w:color="B7C2D0" w:sz="4"/>
              <w:right w:val="single" w:color="B7C2D0" w:sz="4"/>
            </w:tcBorders>
            <w:shd w:fill="F4F6FA" w:color="auto" w:val="clear"/>
            <w:tcMar>
              <w:top w:type="dxa" w:w="140"/>
              <w:left w:type="dxa" w:w="200"/>
              <w:bottom w:type="dxa" w:w="140"/>
              <w:right w:type="dxa" w:w="200"/>
            </w:tcMar>
          </w:tcPr>
          <w:p>
            <w:pPr>
              <w:spacing w:after="60"/>
            </w:pPr>
            <w:r>
              <w:rPr>
                <w:rFonts w:ascii="Consolas" w:cs="Consolas" w:eastAsia="Consolas" w:hAnsi="Consolas"/>
                <w:b/>
                <w:bCs/>
                <w:color w:val="1F3864"/>
                <w:sz w:val="21"/>
                <w:szCs w:val="21"/>
              </w:rPr>
              <w:t xml:space="preserve">Matrix form:      σp² = wᵀ · Σ · w        (Σ = covariance matrix)</w:t>
            </w:r>
          </w:p>
          <w:p>
            <w:pPr>
              <w:spacing w:after="60"/>
            </w:pPr>
            <w:r>
              <w:rPr>
                <w:rFonts w:ascii="Consolas" w:cs="Consolas" w:eastAsia="Consolas" w:hAnsi="Consolas"/>
                <w:b w:val="false"/>
                <w:bCs w:val="false"/>
                <w:color w:val="1F3864"/>
                <w:sz w:val="21"/>
                <w:szCs w:val="21"/>
              </w:rPr>
              <w:t xml:space="preserve">Two-asset form:   σp² = w1²σ1² + w2²σ2² + 2·w1·w2·ρ1,2·σ1·σ2</w:t>
            </w:r>
          </w:p>
          <w:p>
            <w:pPr>
              <w:spacing w:after="0"/>
            </w:pPr>
            <w:r>
              <w:rPr>
                <w:rFonts w:ascii="Consolas" w:cs="Consolas" w:eastAsia="Consolas" w:hAnsi="Consolas"/>
                <w:b w:val="false"/>
                <w:bCs w:val="false"/>
                <w:color w:val="1F3864"/>
                <w:sz w:val="21"/>
                <w:szCs w:val="21"/>
              </w:rPr>
              <w:t xml:space="preserve">Volatility:        σp = √(σp²)</w:t>
            </w:r>
          </w:p>
        </w:tc>
      </w:tr>
    </w:tbl>
    <w:p>
      <w:pPr>
        <w:spacing w:after="80"/>
      </w:pPr>
    </w:p>
    <w:p>
      <w:pPr>
        <w:spacing w:after="60" w:before="100"/>
      </w:pPr>
      <w:r>
        <w:rPr>
          <w:b/>
          <w:bCs/>
          <w:color w:val="6B7280"/>
          <w:sz w:val="19"/>
          <w:szCs w:val="19"/>
        </w:rPr>
        <w:t xml:space="preserve">Variables</w:t>
      </w:r>
    </w:p>
    <w:p>
      <w:pPr>
        <w:pStyle w:val="ListParagraph"/>
        <w:numPr>
          <w:ilvl w:val="0"/>
          <w:numId w:val="2"/>
        </w:numPr>
        <w:spacing w:after="60"/>
      </w:pPr>
      <w:r>
        <w:rPr>
          <w:color w:val="222222"/>
          <w:sz w:val="21"/>
          <w:szCs w:val="21"/>
        </w:rPr>
        <w:t xml:space="preserve">σi — standard deviation (volatility) of asset i's returns</w:t>
      </w:r>
    </w:p>
    <w:p>
      <w:pPr>
        <w:pStyle w:val="ListParagraph"/>
        <w:numPr>
          <w:ilvl w:val="0"/>
          <w:numId w:val="2"/>
        </w:numPr>
        <w:spacing w:after="60"/>
      </w:pPr>
      <w:r>
        <w:rPr>
          <w:color w:val="222222"/>
          <w:sz w:val="21"/>
          <w:szCs w:val="21"/>
        </w:rPr>
        <w:t xml:space="preserve">ρij — correlation coefficient between assets i and j</w:t>
      </w:r>
    </w:p>
    <w:p>
      <w:pPr>
        <w:pStyle w:val="ListParagraph"/>
        <w:numPr>
          <w:ilvl w:val="0"/>
          <w:numId w:val="2"/>
        </w:numPr>
        <w:spacing w:after="60"/>
      </w:pPr>
      <w:r>
        <w:rPr>
          <w:color w:val="222222"/>
          <w:sz w:val="21"/>
          <w:szCs w:val="21"/>
        </w:rPr>
        <w:t xml:space="preserve">Σ — the n×n covariance matrix across all held assets</w:t>
      </w:r>
    </w:p>
    <w:p>
      <w:pPr>
        <w:spacing w:after="60" w:before="100"/>
      </w:pPr>
      <w:r>
        <w:rPr>
          <w:b/>
          <w:bCs/>
          <w:color w:val="6B7280"/>
          <w:sz w:val="19"/>
          <w:szCs w:val="19"/>
        </w:rPr>
        <w:t xml:space="preserve">Real-World Use</w:t>
      </w:r>
    </w:p>
    <w:p>
      <w:pPr>
        <w:spacing w:after="120" w:line="288"/>
      </w:pPr>
      <w:r>
        <w:rPr>
          <w:color w:val="222222"/>
          <w:sz w:val="21"/>
          <w:szCs w:val="21"/>
        </w:rPr>
        <w:t xml:space="preserve">The mathematical proof of diversification: it shows exactly how combining imperfectly correlated assets lowers total portfolio risk below the weighted-average risk of the individual assets. Feeds directly into Sharpe, VaR, and the efficient-frontier optimizer below.</w:t>
      </w:r>
    </w:p>
    <w:p>
      <w:pPr>
        <w:spacing w:after="60" w:before="100"/>
      </w:pPr>
      <w:r>
        <w:rPr>
          <w:b/>
          <w:bCs/>
          <w:color w:val="6B7280"/>
          <w:sz w:val="19"/>
          <w:szCs w:val="19"/>
        </w:rPr>
        <w:t xml:space="preserve">Worked Example</w:t>
      </w:r>
    </w:p>
    <w:p>
      <w:pPr>
        <w:spacing w:after="120" w:line="288"/>
      </w:pPr>
      <w:r>
        <w:rPr>
          <w:color w:val="222222"/>
          <w:sz w:val="21"/>
          <w:szCs w:val="21"/>
        </w:rPr>
        <w:t xml:space="preserve">Two assets, w = (0.6, 0.4), σ1 = 20%, σ2 = 15%, ρ = 0.3 → σp² = 0.36(0.04) + 0.16(0.0225) + 2(0.6)(0.4)(0.3)(0.20)(0.15) = 0.0144 + 0.0036 + 0.00432 = 0.02232 → σp ≈ 14.94%</w:t>
      </w:r>
    </w:p>
    <w:p>
      <w:pPr>
        <w:spacing w:after="200"/>
      </w:pPr>
    </w:p>
    <w:p>
      <w:pPr>
        <w:pStyle w:val="Heading3"/>
        <w:spacing w:after="100" w:before="220"/>
      </w:pPr>
      <w:r>
        <w:rPr>
          <w:b/>
          <w:bCs/>
          <w:color w:val="1F3864"/>
          <w:sz w:val="22"/>
          <w:szCs w:val="22"/>
        </w:rPr>
        <w:t xml:space="preserve">5.3 Covariance &amp; Correlation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2D0" w:sz="4"/>
              <w:left w:val="single" w:color="B7C2D0" w:sz="4"/>
              <w:bottom w:val="single" w:color="B7C2D0" w:sz="4"/>
              <w:right w:val="single" w:color="B7C2D0" w:sz="4"/>
            </w:tcBorders>
            <w:shd w:fill="F4F6FA" w:color="auto" w:val="clear"/>
            <w:tcMar>
              <w:top w:type="dxa" w:w="140"/>
              <w:left w:type="dxa" w:w="200"/>
              <w:bottom w:type="dxa" w:w="140"/>
              <w:right w:type="dxa" w:w="200"/>
            </w:tcMar>
          </w:tcPr>
          <w:p>
            <w:pPr>
              <w:spacing w:after="60"/>
            </w:pPr>
            <w:r>
              <w:rPr>
                <w:rFonts w:ascii="Consolas" w:cs="Consolas" w:eastAsia="Consolas" w:hAnsi="Consolas"/>
                <w:b/>
                <w:bCs/>
                <w:color w:val="1F3864"/>
                <w:sz w:val="21"/>
                <w:szCs w:val="21"/>
              </w:rPr>
              <w:t xml:space="preserve">Cov(i,j) = (1/(n-1)) · Σ [t=1..n] (Ri,t − R̄i)(Rj,t − R̄j)</w:t>
            </w:r>
          </w:p>
          <w:p>
            <w:pPr>
              <w:spacing w:after="0"/>
            </w:pPr>
            <w:r>
              <w:rPr>
                <w:rFonts w:ascii="Consolas" w:cs="Consolas" w:eastAsia="Consolas" w:hAnsi="Consolas"/>
                <w:b w:val="false"/>
                <w:bCs w:val="false"/>
                <w:color w:val="1F3864"/>
                <w:sz w:val="21"/>
                <w:szCs w:val="21"/>
              </w:rPr>
              <w:t xml:space="preserve">ρij       = Cov(i,j) / (σi × σj)</w:t>
            </w:r>
          </w:p>
        </w:tc>
      </w:tr>
    </w:tbl>
    <w:p>
      <w:pPr>
        <w:spacing w:after="80"/>
      </w:pPr>
    </w:p>
    <w:p>
      <w:pPr>
        <w:spacing w:after="60" w:before="100"/>
      </w:pPr>
      <w:r>
        <w:rPr>
          <w:b/>
          <w:bCs/>
          <w:color w:val="6B7280"/>
          <w:sz w:val="19"/>
          <w:szCs w:val="19"/>
        </w:rPr>
        <w:t xml:space="preserve">Variables</w:t>
      </w:r>
    </w:p>
    <w:p>
      <w:pPr>
        <w:pStyle w:val="ListParagraph"/>
        <w:numPr>
          <w:ilvl w:val="0"/>
          <w:numId w:val="2"/>
        </w:numPr>
        <w:spacing w:after="60"/>
      </w:pPr>
      <w:r>
        <w:rPr>
          <w:color w:val="222222"/>
          <w:sz w:val="21"/>
          <w:szCs w:val="21"/>
        </w:rPr>
        <w:t xml:space="preserve">Ri,t — return of asset i on day/period t</w:t>
      </w:r>
    </w:p>
    <w:p>
      <w:pPr>
        <w:pStyle w:val="ListParagraph"/>
        <w:numPr>
          <w:ilvl w:val="0"/>
          <w:numId w:val="2"/>
        </w:numPr>
        <w:spacing w:after="60"/>
      </w:pPr>
      <w:r>
        <w:rPr>
          <w:color w:val="222222"/>
          <w:sz w:val="21"/>
          <w:szCs w:val="21"/>
        </w:rPr>
        <w:t xml:space="preserve">R̄i — mean return of asset i over the sample window</w:t>
      </w:r>
    </w:p>
    <w:p>
      <w:pPr>
        <w:pStyle w:val="ListParagraph"/>
        <w:numPr>
          <w:ilvl w:val="0"/>
          <w:numId w:val="2"/>
        </w:numPr>
        <w:spacing w:after="60"/>
      </w:pPr>
      <w:r>
        <w:rPr>
          <w:color w:val="222222"/>
          <w:sz w:val="21"/>
          <w:szCs w:val="21"/>
        </w:rPr>
        <w:t xml:space="preserve">n — number of return observations</w:t>
      </w:r>
    </w:p>
    <w:p>
      <w:pPr>
        <w:spacing w:after="60" w:before="100"/>
      </w:pPr>
      <w:r>
        <w:rPr>
          <w:b/>
          <w:bCs/>
          <w:color w:val="6B7280"/>
          <w:sz w:val="19"/>
          <w:szCs w:val="19"/>
        </w:rPr>
        <w:t xml:space="preserve">Real-World Use</w:t>
      </w:r>
    </w:p>
    <w:p>
      <w:pPr>
        <w:spacing w:after="120" w:line="288"/>
      </w:pPr>
      <w:r>
        <w:rPr>
          <w:color w:val="222222"/>
          <w:sz w:val="21"/>
          <w:szCs w:val="21"/>
        </w:rPr>
        <w:t xml:space="preserve">The backbone of every diversification calculation. Computed once per price-history update and cached in Redis as the n×n covariance matrix, since it feeds variance, VaR, beta, and the optimizer.</w:t>
      </w:r>
    </w:p>
    <w:p>
      <w:pPr>
        <w:spacing w:after="60" w:before="100"/>
      </w:pPr>
      <w:r>
        <w:rPr>
          <w:b/>
          <w:bCs/>
          <w:color w:val="6B7280"/>
          <w:sz w:val="19"/>
          <w:szCs w:val="19"/>
        </w:rPr>
        <w:t xml:space="preserve">Worked Example</w:t>
      </w:r>
    </w:p>
    <w:p>
      <w:pPr>
        <w:spacing w:after="120" w:line="288"/>
      </w:pPr>
      <w:r>
        <w:rPr>
          <w:color w:val="222222"/>
          <w:sz w:val="21"/>
          <w:szCs w:val="21"/>
        </w:rPr>
        <w:t xml:space="preserve">If two assets have correlation ρ = -0.2, adding the second to a portfolio of the first reduces total volatility more than an uncorrelated (ρ=0) pairing would.</w:t>
      </w:r>
    </w:p>
    <w:p>
      <w:pPr>
        <w:spacing w:after="200"/>
      </w:pPr>
    </w:p>
    <w:p>
      <w:pPr>
        <w:pStyle w:val="Heading3"/>
        <w:spacing w:after="100" w:before="220"/>
      </w:pPr>
      <w:r>
        <w:rPr>
          <w:b/>
          <w:bCs/>
          <w:color w:val="1F3864"/>
          <w:sz w:val="22"/>
          <w:szCs w:val="22"/>
        </w:rPr>
        <w:t xml:space="preserve">5.4 Sharpe Ratio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2D0" w:sz="4"/>
              <w:left w:val="single" w:color="B7C2D0" w:sz="4"/>
              <w:bottom w:val="single" w:color="B7C2D0" w:sz="4"/>
              <w:right w:val="single" w:color="B7C2D0" w:sz="4"/>
            </w:tcBorders>
            <w:shd w:fill="F4F6FA" w:color="auto" w:val="clear"/>
            <w:tcMar>
              <w:top w:type="dxa" w:w="140"/>
              <w:left w:type="dxa" w:w="200"/>
              <w:bottom w:type="dxa" w:w="140"/>
              <w:right w:type="dxa" w:w="200"/>
            </w:tcMar>
          </w:tcPr>
          <w:p>
            <w:pPr>
              <w:spacing w:after="0"/>
            </w:pPr>
            <w:r>
              <w:rPr>
                <w:rFonts w:ascii="Consolas" w:cs="Consolas" w:eastAsia="Consolas" w:hAnsi="Consolas"/>
                <w:b/>
                <w:bCs/>
                <w:color w:val="1F3864"/>
                <w:sz w:val="21"/>
                <w:szCs w:val="21"/>
              </w:rPr>
              <w:t xml:space="preserve">Sharpe = (Rp − Rf) / σp</w:t>
            </w:r>
          </w:p>
        </w:tc>
      </w:tr>
    </w:tbl>
    <w:p>
      <w:pPr>
        <w:spacing w:after="80"/>
      </w:pPr>
    </w:p>
    <w:p>
      <w:pPr>
        <w:spacing w:after="60" w:before="100"/>
      </w:pPr>
      <w:r>
        <w:rPr>
          <w:b/>
          <w:bCs/>
          <w:color w:val="6B7280"/>
          <w:sz w:val="19"/>
          <w:szCs w:val="19"/>
        </w:rPr>
        <w:t xml:space="preserve">Variables</w:t>
      </w:r>
    </w:p>
    <w:p>
      <w:pPr>
        <w:pStyle w:val="ListParagraph"/>
        <w:numPr>
          <w:ilvl w:val="0"/>
          <w:numId w:val="2"/>
        </w:numPr>
        <w:spacing w:after="60"/>
      </w:pPr>
      <w:r>
        <w:rPr>
          <w:color w:val="222222"/>
          <w:sz w:val="21"/>
          <w:szCs w:val="21"/>
        </w:rPr>
        <w:t xml:space="preserve">Rp — portfolio return (annualized)</w:t>
      </w:r>
    </w:p>
    <w:p>
      <w:pPr>
        <w:pStyle w:val="ListParagraph"/>
        <w:numPr>
          <w:ilvl w:val="0"/>
          <w:numId w:val="2"/>
        </w:numPr>
        <w:spacing w:after="60"/>
      </w:pPr>
      <w:r>
        <w:rPr>
          <w:color w:val="222222"/>
          <w:sz w:val="21"/>
          <w:szCs w:val="21"/>
        </w:rPr>
        <w:t xml:space="preserve">Rf — risk-free rate (e.g. current Indian 10-year G-Sec yield)</w:t>
      </w:r>
    </w:p>
    <w:p>
      <w:pPr>
        <w:pStyle w:val="ListParagraph"/>
        <w:numPr>
          <w:ilvl w:val="0"/>
          <w:numId w:val="2"/>
        </w:numPr>
        <w:spacing w:after="60"/>
      </w:pPr>
      <w:r>
        <w:rPr>
          <w:color w:val="222222"/>
          <w:sz w:val="21"/>
          <w:szCs w:val="21"/>
        </w:rPr>
        <w:t xml:space="preserve">σp — portfolio volatility (annualized standard deviation)</w:t>
      </w:r>
    </w:p>
    <w:p>
      <w:pPr>
        <w:spacing w:after="60" w:before="100"/>
      </w:pPr>
      <w:r>
        <w:rPr>
          <w:b/>
          <w:bCs/>
          <w:color w:val="6B7280"/>
          <w:sz w:val="19"/>
          <w:szCs w:val="19"/>
        </w:rPr>
        <w:t xml:space="preserve">Real-World Use</w:t>
      </w:r>
    </w:p>
    <w:p>
      <w:pPr>
        <w:spacing w:after="120" w:line="288"/>
      </w:pPr>
      <w:r>
        <w:rPr>
          <w:color w:val="222222"/>
          <w:sz w:val="21"/>
          <w:szCs w:val="21"/>
        </w:rPr>
        <w:t xml:space="preserve">The industry-standard risk-adjusted return metric — used to rank mutual funds, compare two portfolios with different risk levels, and decide whether extra risk taken is actually being paid for.</w:t>
      </w:r>
    </w:p>
    <w:p>
      <w:pPr>
        <w:spacing w:after="60" w:before="100"/>
      </w:pPr>
      <w:r>
        <w:rPr>
          <w:b/>
          <w:bCs/>
          <w:color w:val="6B7280"/>
          <w:sz w:val="19"/>
          <w:szCs w:val="19"/>
        </w:rPr>
        <w:t xml:space="preserve">Worked Example</w:t>
      </w:r>
    </w:p>
    <w:p>
      <w:pPr>
        <w:spacing w:after="120" w:line="288"/>
      </w:pPr>
      <w:r>
        <w:rPr>
          <w:color w:val="222222"/>
          <w:sz w:val="21"/>
          <w:szCs w:val="21"/>
        </w:rPr>
        <w:t xml:space="preserve">Rp = 11%, Rf = 6.5%, σp = 15% → Sharpe = (11 − 6.5) / 15 = 0.30</w:t>
      </w:r>
    </w:p>
    <w:p>
      <w:pPr>
        <w:spacing w:after="200"/>
      </w:pPr>
    </w:p>
    <w:p>
      <w:pPr>
        <w:pStyle w:val="Heading3"/>
        <w:spacing w:after="100" w:before="220"/>
      </w:pPr>
      <w:r>
        <w:rPr>
          <w:b/>
          <w:bCs/>
          <w:color w:val="1F3864"/>
          <w:sz w:val="22"/>
          <w:szCs w:val="22"/>
        </w:rPr>
        <w:t xml:space="preserve">5.5 Sortino Ratio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2D0" w:sz="4"/>
              <w:left w:val="single" w:color="B7C2D0" w:sz="4"/>
              <w:bottom w:val="single" w:color="B7C2D0" w:sz="4"/>
              <w:right w:val="single" w:color="B7C2D0" w:sz="4"/>
            </w:tcBorders>
            <w:shd w:fill="F4F6FA" w:color="auto" w:val="clear"/>
            <w:tcMar>
              <w:top w:type="dxa" w:w="140"/>
              <w:left w:type="dxa" w:w="200"/>
              <w:bottom w:type="dxa" w:w="140"/>
              <w:right w:type="dxa" w:w="200"/>
            </w:tcMar>
          </w:tcPr>
          <w:p>
            <w:pPr>
              <w:spacing w:after="60"/>
            </w:pPr>
            <w:r>
              <w:rPr>
                <w:rFonts w:ascii="Consolas" w:cs="Consolas" w:eastAsia="Consolas" w:hAnsi="Consolas"/>
                <w:b/>
                <w:bCs/>
                <w:color w:val="1F3864"/>
                <w:sz w:val="21"/>
                <w:szCs w:val="21"/>
              </w:rPr>
              <w:t xml:space="preserve">Sortino = (Rp − Rf) / σd</w:t>
            </w:r>
          </w:p>
          <w:p>
            <w:pPr>
              <w:spacing w:after="0"/>
            </w:pPr>
            <w:r>
              <w:rPr>
                <w:rFonts w:ascii="Consolas" w:cs="Consolas" w:eastAsia="Consolas" w:hAnsi="Consolas"/>
                <w:b w:val="false"/>
                <w:bCs w:val="false"/>
                <w:color w:val="1F3864"/>
                <w:sz w:val="21"/>
                <w:szCs w:val="21"/>
              </w:rPr>
              <w:t xml:space="preserve">σd = √( (1/n) · Σ [min(Ri − T, 0)]² )     (downside deviation)</w:t>
            </w:r>
          </w:p>
        </w:tc>
      </w:tr>
    </w:tbl>
    <w:p>
      <w:pPr>
        <w:spacing w:after="80"/>
      </w:pPr>
    </w:p>
    <w:p>
      <w:pPr>
        <w:spacing w:after="60" w:before="100"/>
      </w:pPr>
      <w:r>
        <w:rPr>
          <w:b/>
          <w:bCs/>
          <w:color w:val="6B7280"/>
          <w:sz w:val="19"/>
          <w:szCs w:val="19"/>
        </w:rPr>
        <w:t xml:space="preserve">Variables</w:t>
      </w:r>
    </w:p>
    <w:p>
      <w:pPr>
        <w:pStyle w:val="ListParagraph"/>
        <w:numPr>
          <w:ilvl w:val="0"/>
          <w:numId w:val="2"/>
        </w:numPr>
        <w:spacing w:after="60"/>
      </w:pPr>
      <w:r>
        <w:rPr>
          <w:color w:val="222222"/>
          <w:sz w:val="21"/>
          <w:szCs w:val="21"/>
        </w:rPr>
        <w:t xml:space="preserve">T — target/minimum acceptable return (often 0 or Rf)</w:t>
      </w:r>
    </w:p>
    <w:p>
      <w:pPr>
        <w:pStyle w:val="ListParagraph"/>
        <w:numPr>
          <w:ilvl w:val="0"/>
          <w:numId w:val="2"/>
        </w:numPr>
        <w:spacing w:after="60"/>
      </w:pPr>
      <w:r>
        <w:rPr>
          <w:color w:val="222222"/>
          <w:sz w:val="21"/>
          <w:szCs w:val="21"/>
        </w:rPr>
        <w:t xml:space="preserve">σd — downside deviation: volatility computed only from returns below T</w:t>
      </w:r>
    </w:p>
    <w:p>
      <w:pPr>
        <w:spacing w:after="60" w:before="100"/>
      </w:pPr>
      <w:r>
        <w:rPr>
          <w:b/>
          <w:bCs/>
          <w:color w:val="6B7280"/>
          <w:sz w:val="19"/>
          <w:szCs w:val="19"/>
        </w:rPr>
        <w:t xml:space="preserve">Real-World Use</w:t>
      </w:r>
    </w:p>
    <w:p>
      <w:pPr>
        <w:spacing w:after="120" w:line="288"/>
      </w:pPr>
      <w:r>
        <w:rPr>
          <w:color w:val="222222"/>
          <w:sz w:val="21"/>
          <w:szCs w:val="21"/>
        </w:rPr>
        <w:t xml:space="preserve">A more realistic cousin of Sharpe — investors don't mind upside swings, so Sortino only penalizes the volatility that actually hurts (returns below target), giving a fairer score to asymmetric strategies.</w:t>
      </w:r>
    </w:p>
    <w:p>
      <w:pPr>
        <w:spacing w:after="60" w:before="100"/>
      </w:pPr>
      <w:r>
        <w:rPr>
          <w:b/>
          <w:bCs/>
          <w:color w:val="6B7280"/>
          <w:sz w:val="19"/>
          <w:szCs w:val="19"/>
        </w:rPr>
        <w:t xml:space="preserve">Worked Example</w:t>
      </w:r>
    </w:p>
    <w:p>
      <w:pPr>
        <w:spacing w:after="120" w:line="288"/>
      </w:pPr>
      <w:r>
        <w:rPr>
          <w:color w:val="222222"/>
          <w:sz w:val="21"/>
          <w:szCs w:val="21"/>
        </w:rPr>
        <w:t xml:space="preserve">A portfolio with frequent small gains and rare large losses will show a much worse Sortino than Sharpe would suggest — correctly flagging the downside tail risk.</w:t>
      </w:r>
    </w:p>
    <w:p>
      <w:pPr>
        <w:spacing w:after="200"/>
      </w:pPr>
    </w:p>
    <w:p>
      <w:pPr>
        <w:pStyle w:val="Heading3"/>
        <w:spacing w:after="100" w:before="220"/>
      </w:pPr>
      <w:r>
        <w:rPr>
          <w:b/>
          <w:bCs/>
          <w:color w:val="1F3864"/>
          <w:sz w:val="22"/>
          <w:szCs w:val="22"/>
        </w:rPr>
        <w:t xml:space="preserve">5.6 CAPM Beta &amp; Expected Return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2D0" w:sz="4"/>
              <w:left w:val="single" w:color="B7C2D0" w:sz="4"/>
              <w:bottom w:val="single" w:color="B7C2D0" w:sz="4"/>
              <w:right w:val="single" w:color="B7C2D0" w:sz="4"/>
            </w:tcBorders>
            <w:shd w:fill="F4F6FA" w:color="auto" w:val="clear"/>
            <w:tcMar>
              <w:top w:type="dxa" w:w="140"/>
              <w:left w:type="dxa" w:w="200"/>
              <w:bottom w:type="dxa" w:w="140"/>
              <w:right w:type="dxa" w:w="200"/>
            </w:tcMar>
          </w:tcPr>
          <w:p>
            <w:pPr>
              <w:spacing w:after="60"/>
            </w:pPr>
            <w:r>
              <w:rPr>
                <w:rFonts w:ascii="Consolas" w:cs="Consolas" w:eastAsia="Consolas" w:hAnsi="Consolas"/>
                <w:b/>
                <w:bCs/>
                <w:color w:val="1F3864"/>
                <w:sz w:val="21"/>
                <w:szCs w:val="21"/>
              </w:rPr>
              <w:t xml:space="preserve">βi        = Cov(Ri, Rm) / Var(Rm)</w:t>
            </w:r>
          </w:p>
          <w:p>
            <w:pPr>
              <w:spacing w:after="0"/>
            </w:pPr>
            <w:r>
              <w:rPr>
                <w:rFonts w:ascii="Consolas" w:cs="Consolas" w:eastAsia="Consolas" w:hAnsi="Consolas"/>
                <w:b w:val="false"/>
                <w:bCs w:val="false"/>
                <w:color w:val="1F3864"/>
                <w:sz w:val="21"/>
                <w:szCs w:val="21"/>
              </w:rPr>
              <w:t xml:space="preserve">E(Ri) CAPM = Rf + βi × (E(Rm) − Rf)</w:t>
            </w:r>
          </w:p>
        </w:tc>
      </w:tr>
    </w:tbl>
    <w:p>
      <w:pPr>
        <w:spacing w:after="80"/>
      </w:pPr>
    </w:p>
    <w:p>
      <w:pPr>
        <w:spacing w:after="60" w:before="100"/>
      </w:pPr>
      <w:r>
        <w:rPr>
          <w:b/>
          <w:bCs/>
          <w:color w:val="6B7280"/>
          <w:sz w:val="19"/>
          <w:szCs w:val="19"/>
        </w:rPr>
        <w:t xml:space="preserve">Variables</w:t>
      </w:r>
    </w:p>
    <w:p>
      <w:pPr>
        <w:pStyle w:val="ListParagraph"/>
        <w:numPr>
          <w:ilvl w:val="0"/>
          <w:numId w:val="2"/>
        </w:numPr>
        <w:spacing w:after="60"/>
      </w:pPr>
      <w:r>
        <w:rPr>
          <w:color w:val="222222"/>
          <w:sz w:val="21"/>
          <w:szCs w:val="21"/>
        </w:rPr>
        <w:t xml:space="preserve">Rm — return of the benchmark market index (e.g. NIFTY 50)</w:t>
      </w:r>
    </w:p>
    <w:p>
      <w:pPr>
        <w:pStyle w:val="ListParagraph"/>
        <w:numPr>
          <w:ilvl w:val="0"/>
          <w:numId w:val="2"/>
        </w:numPr>
        <w:spacing w:after="60"/>
      </w:pPr>
      <w:r>
        <w:rPr>
          <w:color w:val="222222"/>
          <w:sz w:val="21"/>
          <w:szCs w:val="21"/>
        </w:rPr>
        <w:t xml:space="preserve">βi — sensitivity of asset i's returns to market movements</w:t>
      </w:r>
    </w:p>
    <w:p>
      <w:pPr>
        <w:spacing w:after="60" w:before="100"/>
      </w:pPr>
      <w:r>
        <w:rPr>
          <w:b/>
          <w:bCs/>
          <w:color w:val="6B7280"/>
          <w:sz w:val="19"/>
          <w:szCs w:val="19"/>
        </w:rPr>
        <w:t xml:space="preserve">Real-World Use</w:t>
      </w:r>
    </w:p>
    <w:p>
      <w:pPr>
        <w:spacing w:after="120" w:line="288"/>
      </w:pPr>
      <w:r>
        <w:rPr>
          <w:color w:val="222222"/>
          <w:sz w:val="21"/>
          <w:szCs w:val="21"/>
        </w:rPr>
        <w:t xml:space="preserve">Prices the systematic (market) risk of a stock relative to a benchmark; a β of 1.3 means the asset moves ~30% more than the market in either direction. Feeds directly into Alpha and Treynor below.</w:t>
      </w:r>
    </w:p>
    <w:p>
      <w:pPr>
        <w:spacing w:after="60" w:before="100"/>
      </w:pPr>
      <w:r>
        <w:rPr>
          <w:b/>
          <w:bCs/>
          <w:color w:val="6B7280"/>
          <w:sz w:val="19"/>
          <w:szCs w:val="19"/>
        </w:rPr>
        <w:t xml:space="preserve">Worked Example</w:t>
      </w:r>
    </w:p>
    <w:p>
      <w:pPr>
        <w:spacing w:after="120" w:line="288"/>
      </w:pPr>
      <w:r>
        <w:rPr>
          <w:color w:val="222222"/>
          <w:sz w:val="21"/>
          <w:szCs w:val="21"/>
        </w:rPr>
        <w:t xml:space="preserve">NIFTY 50 expected return 12%, Rf 6.5%, stock β = 1.4 → CAPM expected return = 6.5 + 1.4(12−6.5) = 6.5 + 7.7 = 14.2%</w:t>
      </w:r>
    </w:p>
    <w:p>
      <w:pPr>
        <w:spacing w:after="200"/>
      </w:pPr>
    </w:p>
    <w:p>
      <w:pPr>
        <w:pStyle w:val="Heading3"/>
        <w:spacing w:after="100" w:before="220"/>
      </w:pPr>
      <w:r>
        <w:rPr>
          <w:b/>
          <w:bCs/>
          <w:color w:val="1F3864"/>
          <w:sz w:val="22"/>
          <w:szCs w:val="22"/>
        </w:rPr>
        <w:t xml:space="preserve">5.7 Jensen's Alpha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2D0" w:sz="4"/>
              <w:left w:val="single" w:color="B7C2D0" w:sz="4"/>
              <w:bottom w:val="single" w:color="B7C2D0" w:sz="4"/>
              <w:right w:val="single" w:color="B7C2D0" w:sz="4"/>
            </w:tcBorders>
            <w:shd w:fill="F4F6FA" w:color="auto" w:val="clear"/>
            <w:tcMar>
              <w:top w:type="dxa" w:w="140"/>
              <w:left w:type="dxa" w:w="200"/>
              <w:bottom w:type="dxa" w:w="140"/>
              <w:right w:type="dxa" w:w="200"/>
            </w:tcMar>
          </w:tcPr>
          <w:p>
            <w:pPr>
              <w:spacing w:after="0"/>
            </w:pPr>
            <w:r>
              <w:rPr>
                <w:rFonts w:ascii="Consolas" w:cs="Consolas" w:eastAsia="Consolas" w:hAnsi="Consolas"/>
                <w:b/>
                <w:bCs/>
                <w:color w:val="1F3864"/>
                <w:sz w:val="21"/>
                <w:szCs w:val="21"/>
              </w:rPr>
              <w:t xml:space="preserve">αp = Rp − [ Rf + βp × (Rm − Rf) ]</w:t>
            </w:r>
          </w:p>
        </w:tc>
      </w:tr>
    </w:tbl>
    <w:p>
      <w:pPr>
        <w:spacing w:after="80"/>
      </w:pPr>
    </w:p>
    <w:p>
      <w:pPr>
        <w:spacing w:after="60" w:before="100"/>
      </w:pPr>
      <w:r>
        <w:rPr>
          <w:b/>
          <w:bCs/>
          <w:color w:val="6B7280"/>
          <w:sz w:val="19"/>
          <w:szCs w:val="19"/>
        </w:rPr>
        <w:t xml:space="preserve">Variables</w:t>
      </w:r>
    </w:p>
    <w:p>
      <w:pPr>
        <w:pStyle w:val="ListParagraph"/>
        <w:numPr>
          <w:ilvl w:val="0"/>
          <w:numId w:val="2"/>
        </w:numPr>
        <w:spacing w:after="60"/>
      </w:pPr>
      <w:r>
        <w:rPr>
          <w:color w:val="222222"/>
          <w:sz w:val="21"/>
          <w:szCs w:val="21"/>
        </w:rPr>
        <w:t xml:space="preserve">Rp — the portfolio's actual realized return</w:t>
      </w:r>
    </w:p>
    <w:p>
      <w:pPr>
        <w:pStyle w:val="ListParagraph"/>
        <w:numPr>
          <w:ilvl w:val="0"/>
          <w:numId w:val="2"/>
        </w:numPr>
        <w:spacing w:after="60"/>
      </w:pPr>
      <w:r>
        <w:rPr>
          <w:color w:val="222222"/>
          <w:sz w:val="21"/>
          <w:szCs w:val="21"/>
        </w:rPr>
        <w:t xml:space="preserve">The bracketed term — the CAPM-predicted return for that level of market risk</w:t>
      </w:r>
    </w:p>
    <w:p>
      <w:pPr>
        <w:spacing w:after="60" w:before="100"/>
      </w:pPr>
      <w:r>
        <w:rPr>
          <w:b/>
          <w:bCs/>
          <w:color w:val="6B7280"/>
          <w:sz w:val="19"/>
          <w:szCs w:val="19"/>
        </w:rPr>
        <w:t xml:space="preserve">Real-World Use</w:t>
      </w:r>
    </w:p>
    <w:p>
      <w:pPr>
        <w:spacing w:after="120" w:line="288"/>
      </w:pPr>
      <w:r>
        <w:rPr>
          <w:color w:val="222222"/>
          <w:sz w:val="21"/>
          <w:szCs w:val="21"/>
        </w:rPr>
        <w:t xml:space="preserve">Measures manager or strategy skill: the actual excess return earned above what pure market-risk exposure (Beta) alone would predict. A consistently positive alpha is the holy grail of active management.</w:t>
      </w:r>
    </w:p>
    <w:p>
      <w:pPr>
        <w:spacing w:after="60" w:before="100"/>
      </w:pPr>
      <w:r>
        <w:rPr>
          <w:b/>
          <w:bCs/>
          <w:color w:val="6B7280"/>
          <w:sz w:val="19"/>
          <w:szCs w:val="19"/>
        </w:rPr>
        <w:t xml:space="preserve">Worked Example</w:t>
      </w:r>
    </w:p>
    <w:p>
      <w:pPr>
        <w:spacing w:after="120" w:line="288"/>
      </w:pPr>
      <w:r>
        <w:rPr>
          <w:color w:val="222222"/>
          <w:sz w:val="21"/>
          <w:szCs w:val="21"/>
        </w:rPr>
        <w:t xml:space="preserve">Rp = 13%, Rf = 6.5%, βp = 1.1, Rm = 12% → α = 13 − [6.5 + 1.1(12−6.5)] = 13 − 12.55 = +0.45%</w:t>
      </w:r>
    </w:p>
    <w:p>
      <w:pPr>
        <w:spacing w:after="200"/>
      </w:pPr>
    </w:p>
    <w:p>
      <w:pPr>
        <w:pStyle w:val="Heading3"/>
        <w:spacing w:after="100" w:before="220"/>
      </w:pPr>
      <w:r>
        <w:rPr>
          <w:b/>
          <w:bCs/>
          <w:color w:val="1F3864"/>
          <w:sz w:val="22"/>
          <w:szCs w:val="22"/>
        </w:rPr>
        <w:t xml:space="preserve">5.8 Treynor Ratio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2D0" w:sz="4"/>
              <w:left w:val="single" w:color="B7C2D0" w:sz="4"/>
              <w:bottom w:val="single" w:color="B7C2D0" w:sz="4"/>
              <w:right w:val="single" w:color="B7C2D0" w:sz="4"/>
            </w:tcBorders>
            <w:shd w:fill="F4F6FA" w:color="auto" w:val="clear"/>
            <w:tcMar>
              <w:top w:type="dxa" w:w="140"/>
              <w:left w:type="dxa" w:w="200"/>
              <w:bottom w:type="dxa" w:w="140"/>
              <w:right w:type="dxa" w:w="200"/>
            </w:tcMar>
          </w:tcPr>
          <w:p>
            <w:pPr>
              <w:spacing w:after="0"/>
            </w:pPr>
            <w:r>
              <w:rPr>
                <w:rFonts w:ascii="Consolas" w:cs="Consolas" w:eastAsia="Consolas" w:hAnsi="Consolas"/>
                <w:b/>
                <w:bCs/>
                <w:color w:val="1F3864"/>
                <w:sz w:val="21"/>
                <w:szCs w:val="21"/>
              </w:rPr>
              <w:t xml:space="preserve">Treynor = (Rp − Rf) / βp</w:t>
            </w:r>
          </w:p>
        </w:tc>
      </w:tr>
    </w:tbl>
    <w:p>
      <w:pPr>
        <w:spacing w:after="80"/>
      </w:pPr>
    </w:p>
    <w:p>
      <w:pPr>
        <w:spacing w:after="60" w:before="100"/>
      </w:pPr>
      <w:r>
        <w:rPr>
          <w:b/>
          <w:bCs/>
          <w:color w:val="6B7280"/>
          <w:sz w:val="19"/>
          <w:szCs w:val="19"/>
        </w:rPr>
        <w:t xml:space="preserve">Variables</w:t>
      </w:r>
    </w:p>
    <w:p>
      <w:pPr>
        <w:pStyle w:val="ListParagraph"/>
        <w:numPr>
          <w:ilvl w:val="0"/>
          <w:numId w:val="2"/>
        </w:numPr>
        <w:spacing w:after="60"/>
      </w:pPr>
      <w:r>
        <w:rPr>
          <w:color w:val="222222"/>
          <w:sz w:val="21"/>
          <w:szCs w:val="21"/>
        </w:rPr>
        <w:t xml:space="preserve">βp — the portfolio's overall beta against the benchmark</w:t>
      </w:r>
    </w:p>
    <w:p>
      <w:pPr>
        <w:spacing w:after="60" w:before="100"/>
      </w:pPr>
      <w:r>
        <w:rPr>
          <w:b/>
          <w:bCs/>
          <w:color w:val="6B7280"/>
          <w:sz w:val="19"/>
          <w:szCs w:val="19"/>
        </w:rPr>
        <w:t xml:space="preserve">Real-World Use</w:t>
      </w:r>
    </w:p>
    <w:p>
      <w:pPr>
        <w:spacing w:after="120" w:line="288"/>
      </w:pPr>
      <w:r>
        <w:rPr>
          <w:color w:val="222222"/>
          <w:sz w:val="21"/>
          <w:szCs w:val="21"/>
        </w:rPr>
        <w:t xml:space="preserve">Like Sharpe, but divides by systematic risk (Beta) instead of total risk (σ) — the right metric for comparing well-diversified portfolios where unsystematic (asset-specific) risk has already been diversified away.</w:t>
      </w:r>
    </w:p>
    <w:p>
      <w:pPr>
        <w:spacing w:after="60" w:before="100"/>
      </w:pPr>
      <w:r>
        <w:rPr>
          <w:b/>
          <w:bCs/>
          <w:color w:val="6B7280"/>
          <w:sz w:val="19"/>
          <w:szCs w:val="19"/>
        </w:rPr>
        <w:t xml:space="preserve">Worked Example</w:t>
      </w:r>
    </w:p>
    <w:p>
      <w:pPr>
        <w:spacing w:after="120" w:line="288"/>
      </w:pPr>
      <w:r>
        <w:rPr>
          <w:color w:val="222222"/>
          <w:sz w:val="21"/>
          <w:szCs w:val="21"/>
        </w:rPr>
        <w:t xml:space="preserve">Rp = 11%, Rf = 6.5%, βp = 0.9 → Treynor = 4.5 / 0.9 = 5.0 (percentage points of excess return per unit of beta)</w:t>
      </w:r>
    </w:p>
    <w:p>
      <w:pPr>
        <w:spacing w:after="200"/>
      </w:pPr>
    </w:p>
    <w:p>
      <w:pPr>
        <w:pStyle w:val="Heading3"/>
        <w:spacing w:after="100" w:before="220"/>
      </w:pPr>
      <w:r>
        <w:rPr>
          <w:b/>
          <w:bCs/>
          <w:color w:val="1F3864"/>
          <w:sz w:val="22"/>
          <w:szCs w:val="22"/>
        </w:rPr>
        <w:t xml:space="preserve">5.9 Value at Risk (VaR)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2D0" w:sz="4"/>
              <w:left w:val="single" w:color="B7C2D0" w:sz="4"/>
              <w:bottom w:val="single" w:color="B7C2D0" w:sz="4"/>
              <w:right w:val="single" w:color="B7C2D0" w:sz="4"/>
            </w:tcBorders>
            <w:shd w:fill="F4F6FA" w:color="auto" w:val="clear"/>
            <w:tcMar>
              <w:top w:type="dxa" w:w="140"/>
              <w:left w:type="dxa" w:w="200"/>
              <w:bottom w:type="dxa" w:w="140"/>
              <w:right w:type="dxa" w:w="200"/>
            </w:tcMar>
          </w:tcPr>
          <w:p>
            <w:pPr>
              <w:spacing w:after="60"/>
            </w:pPr>
            <w:r>
              <w:rPr>
                <w:rFonts w:ascii="Consolas" w:cs="Consolas" w:eastAsia="Consolas" w:hAnsi="Consolas"/>
                <w:b/>
                <w:bCs/>
                <w:color w:val="1F3864"/>
                <w:sz w:val="21"/>
                <w:szCs w:val="21"/>
              </w:rPr>
              <w:t xml:space="preserve">Parametric:   VaR = PortfolioValue × Zα × σp × √t</w:t>
            </w:r>
          </w:p>
          <w:p>
            <w:pPr>
              <w:spacing w:after="0"/>
            </w:pPr>
            <w:r>
              <w:rPr>
                <w:rFonts w:ascii="Consolas" w:cs="Consolas" w:eastAsia="Consolas" w:hAnsi="Consolas"/>
                <w:b w:val="false"/>
                <w:bCs w:val="false"/>
                <w:color w:val="1F3864"/>
                <w:sz w:val="21"/>
                <w:szCs w:val="21"/>
              </w:rPr>
              <w:t xml:space="preserve">Historical:   VaR = the loss at the αth percentile of the sorted historical P&amp;L distribution</w:t>
            </w:r>
          </w:p>
        </w:tc>
      </w:tr>
    </w:tbl>
    <w:p>
      <w:pPr>
        <w:spacing w:after="80"/>
      </w:pPr>
    </w:p>
    <w:p>
      <w:pPr>
        <w:spacing w:after="60" w:before="100"/>
      </w:pPr>
      <w:r>
        <w:rPr>
          <w:b/>
          <w:bCs/>
          <w:color w:val="6B7280"/>
          <w:sz w:val="19"/>
          <w:szCs w:val="19"/>
        </w:rPr>
        <w:t xml:space="preserve">Variables</w:t>
      </w:r>
    </w:p>
    <w:p>
      <w:pPr>
        <w:pStyle w:val="ListParagraph"/>
        <w:numPr>
          <w:ilvl w:val="0"/>
          <w:numId w:val="2"/>
        </w:numPr>
        <w:spacing w:after="60"/>
      </w:pPr>
      <w:r>
        <w:rPr>
          <w:color w:val="222222"/>
          <w:sz w:val="21"/>
          <w:szCs w:val="21"/>
        </w:rPr>
        <w:t xml:space="preserve">Zα — z-score for the chosen confidence level (1.645 for 95%, 2.326 for 99%)</w:t>
      </w:r>
    </w:p>
    <w:p>
      <w:pPr>
        <w:pStyle w:val="ListParagraph"/>
        <w:numPr>
          <w:ilvl w:val="0"/>
          <w:numId w:val="2"/>
        </w:numPr>
        <w:spacing w:after="60"/>
      </w:pPr>
      <w:r>
        <w:rPr>
          <w:color w:val="222222"/>
          <w:sz w:val="21"/>
          <w:szCs w:val="21"/>
        </w:rPr>
        <w:t xml:space="preserve">σp — portfolio daily volatility; t — the holding period in days</w:t>
      </w:r>
    </w:p>
    <w:p>
      <w:pPr>
        <w:spacing w:after="60" w:before="100"/>
      </w:pPr>
      <w:r>
        <w:rPr>
          <w:b/>
          <w:bCs/>
          <w:color w:val="6B7280"/>
          <w:sz w:val="19"/>
          <w:szCs w:val="19"/>
        </w:rPr>
        <w:t xml:space="preserve">Real-World Use</w:t>
      </w:r>
    </w:p>
    <w:p>
      <w:pPr>
        <w:spacing w:after="120" w:line="288"/>
      </w:pPr>
      <w:r>
        <w:rPr>
          <w:color w:val="222222"/>
          <w:sz w:val="21"/>
          <w:szCs w:val="21"/>
        </w:rPr>
        <w:t xml:space="preserve">The risk-desk and regulatory standard: 'with 95% confidence, this portfolio will not lose more than ₹X over the next t days.' Both methods are implemented so results can be cross-checked.</w:t>
      </w:r>
    </w:p>
    <w:p>
      <w:pPr>
        <w:spacing w:after="60" w:before="100"/>
      </w:pPr>
      <w:r>
        <w:rPr>
          <w:b/>
          <w:bCs/>
          <w:color w:val="6B7280"/>
          <w:sz w:val="19"/>
          <w:szCs w:val="19"/>
        </w:rPr>
        <w:t xml:space="preserve">Worked Example</w:t>
      </w:r>
    </w:p>
    <w:p>
      <w:pPr>
        <w:spacing w:after="120" w:line="288"/>
      </w:pPr>
      <w:r>
        <w:rPr>
          <w:color w:val="222222"/>
          <w:sz w:val="21"/>
          <w:szCs w:val="21"/>
        </w:rPr>
        <w:t xml:space="preserve">Portfolio value ₹10,00,000, daily σp = 1.2%, 95% confidence, 1-day horizon → VaR = 10,00,000 × 1.645 × 0.012 = ₹19,740</w:t>
      </w:r>
    </w:p>
    <w:p>
      <w:pPr>
        <w:spacing w:after="200"/>
      </w:pPr>
    </w:p>
    <w:p>
      <w:pPr>
        <w:pStyle w:val="Heading3"/>
        <w:spacing w:after="100" w:before="220"/>
      </w:pPr>
      <w:r>
        <w:rPr>
          <w:b/>
          <w:bCs/>
          <w:color w:val="1F3864"/>
          <w:sz w:val="22"/>
          <w:szCs w:val="22"/>
        </w:rPr>
        <w:t xml:space="preserve">5.10 Conditional VaR / Expected Shortfall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2D0" w:sz="4"/>
              <w:left w:val="single" w:color="B7C2D0" w:sz="4"/>
              <w:bottom w:val="single" w:color="B7C2D0" w:sz="4"/>
              <w:right w:val="single" w:color="B7C2D0" w:sz="4"/>
            </w:tcBorders>
            <w:shd w:fill="F4F6FA" w:color="auto" w:val="clear"/>
            <w:tcMar>
              <w:top w:type="dxa" w:w="140"/>
              <w:left w:type="dxa" w:w="200"/>
              <w:bottom w:type="dxa" w:w="140"/>
              <w:right w:type="dxa" w:w="200"/>
            </w:tcMar>
          </w:tcPr>
          <w:p>
            <w:pPr>
              <w:spacing w:after="0"/>
            </w:pPr>
            <w:r>
              <w:rPr>
                <w:rFonts w:ascii="Consolas" w:cs="Consolas" w:eastAsia="Consolas" w:hAnsi="Consolas"/>
                <w:b/>
                <w:bCs/>
                <w:color w:val="1F3864"/>
                <w:sz w:val="21"/>
                <w:szCs w:val="21"/>
              </w:rPr>
              <w:t xml:space="preserve">CVaR = E[ Loss | Loss &gt; VaR ]   — mean of all losses beyond the VaR cutoff</w:t>
            </w:r>
          </w:p>
        </w:tc>
      </w:tr>
    </w:tbl>
    <w:p>
      <w:pPr>
        <w:spacing w:after="80"/>
      </w:pPr>
    </w:p>
    <w:p>
      <w:pPr>
        <w:spacing w:after="60" w:before="100"/>
      </w:pPr>
      <w:r>
        <w:rPr>
          <w:b/>
          <w:bCs/>
          <w:color w:val="6B7280"/>
          <w:sz w:val="19"/>
          <w:szCs w:val="19"/>
        </w:rPr>
        <w:t xml:space="preserve">Variables</w:t>
      </w:r>
    </w:p>
    <w:p>
      <w:pPr>
        <w:pStyle w:val="ListParagraph"/>
        <w:numPr>
          <w:ilvl w:val="0"/>
          <w:numId w:val="2"/>
        </w:numPr>
        <w:spacing w:after="60"/>
      </w:pPr>
      <w:r>
        <w:rPr>
          <w:color w:val="222222"/>
          <w:sz w:val="21"/>
          <w:szCs w:val="21"/>
        </w:rPr>
        <w:t xml:space="preserve">Computed from the same sorted historical loss distribution used for historical VaR</w:t>
      </w:r>
    </w:p>
    <w:p>
      <w:pPr>
        <w:spacing w:after="60" w:before="100"/>
      </w:pPr>
      <w:r>
        <w:rPr>
          <w:b/>
          <w:bCs/>
          <w:color w:val="6B7280"/>
          <w:sz w:val="19"/>
          <w:szCs w:val="19"/>
        </w:rPr>
        <w:t xml:space="preserve">Real-World Use</w:t>
      </w:r>
    </w:p>
    <w:p>
      <w:pPr>
        <w:spacing w:after="120" w:line="288"/>
      </w:pPr>
      <w:r>
        <w:rPr>
          <w:color w:val="222222"/>
          <w:sz w:val="21"/>
          <w:szCs w:val="21"/>
        </w:rPr>
        <w:t xml:space="preserve">Captures the tail risk that VaR ignores by construction — 'how bad is bad' beyond the threshold. Basel III risk frameworks now favor CVaR/Expected Shortfall over plain VaR for exactly this reason.</w:t>
      </w:r>
    </w:p>
    <w:p>
      <w:pPr>
        <w:spacing w:after="60" w:before="100"/>
      </w:pPr>
      <w:r>
        <w:rPr>
          <w:b/>
          <w:bCs/>
          <w:color w:val="6B7280"/>
          <w:sz w:val="19"/>
          <w:szCs w:val="19"/>
        </w:rPr>
        <w:t xml:space="preserve">Worked Example</w:t>
      </w:r>
    </w:p>
    <w:p>
      <w:pPr>
        <w:spacing w:after="120" w:line="288"/>
      </w:pPr>
      <w:r>
        <w:rPr>
          <w:color w:val="222222"/>
          <w:sz w:val="21"/>
          <w:szCs w:val="21"/>
        </w:rPr>
        <w:t xml:space="preserve">If the worst 5% of days average a 3.1% loss (versus a 95% VaR of 1.97%), CVaR = 3.1% — the number that actually matters in a genuine tail event.</w:t>
      </w:r>
    </w:p>
    <w:p>
      <w:pPr>
        <w:spacing w:after="200"/>
      </w:pPr>
    </w:p>
    <w:p>
      <w:pPr>
        <w:pStyle w:val="Heading3"/>
        <w:spacing w:after="100" w:before="220"/>
      </w:pPr>
      <w:r>
        <w:rPr>
          <w:b/>
          <w:bCs/>
          <w:color w:val="1F3864"/>
          <w:sz w:val="22"/>
          <w:szCs w:val="22"/>
        </w:rPr>
        <w:t xml:space="preserve">5.11 Maximum Drawdown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2D0" w:sz="4"/>
              <w:left w:val="single" w:color="B7C2D0" w:sz="4"/>
              <w:bottom w:val="single" w:color="B7C2D0" w:sz="4"/>
              <w:right w:val="single" w:color="B7C2D0" w:sz="4"/>
            </w:tcBorders>
            <w:shd w:fill="F4F6FA" w:color="auto" w:val="clear"/>
            <w:tcMar>
              <w:top w:type="dxa" w:w="140"/>
              <w:left w:type="dxa" w:w="200"/>
              <w:bottom w:type="dxa" w:w="140"/>
              <w:right w:type="dxa" w:w="200"/>
            </w:tcMar>
          </w:tcPr>
          <w:p>
            <w:pPr>
              <w:spacing w:after="0"/>
            </w:pPr>
            <w:r>
              <w:rPr>
                <w:rFonts w:ascii="Consolas" w:cs="Consolas" w:eastAsia="Consolas" w:hAnsi="Consolas"/>
                <w:b/>
                <w:bCs/>
                <w:color w:val="1F3864"/>
                <w:sz w:val="21"/>
                <w:szCs w:val="21"/>
              </w:rPr>
              <w:t xml:space="preserve">MDD = min over t of  [ (Value(t) − PeakValue(0..t)) / PeakValue(0..t) ]</w:t>
            </w:r>
          </w:p>
        </w:tc>
      </w:tr>
    </w:tbl>
    <w:p>
      <w:pPr>
        <w:spacing w:after="80"/>
      </w:pPr>
    </w:p>
    <w:p>
      <w:pPr>
        <w:spacing w:after="60" w:before="100"/>
      </w:pPr>
      <w:r>
        <w:rPr>
          <w:b/>
          <w:bCs/>
          <w:color w:val="6B7280"/>
          <w:sz w:val="19"/>
          <w:szCs w:val="19"/>
        </w:rPr>
        <w:t xml:space="preserve">Variables</w:t>
      </w:r>
    </w:p>
    <w:p>
      <w:pPr>
        <w:pStyle w:val="ListParagraph"/>
        <w:numPr>
          <w:ilvl w:val="0"/>
          <w:numId w:val="2"/>
        </w:numPr>
        <w:spacing w:after="60"/>
      </w:pPr>
      <w:r>
        <w:rPr>
          <w:color w:val="222222"/>
          <w:sz w:val="21"/>
          <w:szCs w:val="21"/>
        </w:rPr>
        <w:t xml:space="preserve">PeakValue(0..t) — the running maximum portfolio value up to time t</w:t>
      </w:r>
    </w:p>
    <w:p>
      <w:pPr>
        <w:spacing w:after="60" w:before="100"/>
      </w:pPr>
      <w:r>
        <w:rPr>
          <w:b/>
          <w:bCs/>
          <w:color w:val="6B7280"/>
          <w:sz w:val="19"/>
          <w:szCs w:val="19"/>
        </w:rPr>
        <w:t xml:space="preserve">Real-World Use</w:t>
      </w:r>
    </w:p>
    <w:p>
      <w:pPr>
        <w:spacing w:after="120" w:line="288"/>
      </w:pPr>
      <w:r>
        <w:rPr>
          <w:color w:val="222222"/>
          <w:sz w:val="21"/>
          <w:szCs w:val="21"/>
        </w:rPr>
        <w:t xml:space="preserve">The worst peak-to-trough decline over a period — arguably the risk metric investors feel most viscerally, and a common circuit-breaker trigger for systematic strategies.</w:t>
      </w:r>
    </w:p>
    <w:p>
      <w:pPr>
        <w:spacing w:after="60" w:before="100"/>
      </w:pPr>
      <w:r>
        <w:rPr>
          <w:b/>
          <w:bCs/>
          <w:color w:val="6B7280"/>
          <w:sz w:val="19"/>
          <w:szCs w:val="19"/>
        </w:rPr>
        <w:t xml:space="preserve">Worked Example</w:t>
      </w:r>
    </w:p>
    <w:p>
      <w:pPr>
        <w:spacing w:after="120" w:line="288"/>
      </w:pPr>
      <w:r>
        <w:rPr>
          <w:color w:val="222222"/>
          <w:sz w:val="21"/>
          <w:szCs w:val="21"/>
        </w:rPr>
        <w:t xml:space="preserve">Portfolio peaks at ₹12,00,000, later troughs at ₹9,60,000 before recovering → MDD = (9.6−12)/12 = −20%</w:t>
      </w:r>
    </w:p>
    <w:p>
      <w:pPr>
        <w:spacing w:after="200"/>
      </w:pPr>
    </w:p>
    <w:p>
      <w:pPr>
        <w:pStyle w:val="Heading3"/>
        <w:spacing w:after="100" w:before="220"/>
      </w:pPr>
      <w:r>
        <w:rPr>
          <w:b/>
          <w:bCs/>
          <w:color w:val="1F3864"/>
          <w:sz w:val="22"/>
          <w:szCs w:val="22"/>
        </w:rPr>
        <w:t xml:space="preserve">5.12 CAGR (Compound Annual Growth 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2D0" w:sz="4"/>
              <w:left w:val="single" w:color="B7C2D0" w:sz="4"/>
              <w:bottom w:val="single" w:color="B7C2D0" w:sz="4"/>
              <w:right w:val="single" w:color="B7C2D0" w:sz="4"/>
            </w:tcBorders>
            <w:shd w:fill="F4F6FA" w:color="auto" w:val="clear"/>
            <w:tcMar>
              <w:top w:type="dxa" w:w="140"/>
              <w:left w:type="dxa" w:w="200"/>
              <w:bottom w:type="dxa" w:w="140"/>
              <w:right w:type="dxa" w:w="200"/>
            </w:tcMar>
          </w:tcPr>
          <w:p>
            <w:pPr>
              <w:spacing w:after="0"/>
            </w:pPr>
            <w:r>
              <w:rPr>
                <w:rFonts w:ascii="Consolas" w:cs="Consolas" w:eastAsia="Consolas" w:hAnsi="Consolas"/>
                <w:b/>
                <w:bCs/>
                <w:color w:val="1F3864"/>
                <w:sz w:val="21"/>
                <w:szCs w:val="21"/>
              </w:rPr>
              <w:t xml:space="preserve">CAGR = (EndingValue / BeginningValue)^(1/n) − 1</w:t>
            </w:r>
          </w:p>
        </w:tc>
      </w:tr>
    </w:tbl>
    <w:p>
      <w:pPr>
        <w:spacing w:after="80"/>
      </w:pPr>
    </w:p>
    <w:p>
      <w:pPr>
        <w:spacing w:after="60" w:before="100"/>
      </w:pPr>
      <w:r>
        <w:rPr>
          <w:b/>
          <w:bCs/>
          <w:color w:val="6B7280"/>
          <w:sz w:val="19"/>
          <w:szCs w:val="19"/>
        </w:rPr>
        <w:t xml:space="preserve">Variables</w:t>
      </w:r>
    </w:p>
    <w:p>
      <w:pPr>
        <w:pStyle w:val="ListParagraph"/>
        <w:numPr>
          <w:ilvl w:val="0"/>
          <w:numId w:val="2"/>
        </w:numPr>
        <w:spacing w:after="60"/>
      </w:pPr>
      <w:r>
        <w:rPr>
          <w:color w:val="222222"/>
          <w:sz w:val="21"/>
          <w:szCs w:val="21"/>
        </w:rPr>
        <w:t xml:space="preserve">n — number of years in the holding period</w:t>
      </w:r>
    </w:p>
    <w:p>
      <w:pPr>
        <w:spacing w:after="60" w:before="100"/>
      </w:pPr>
      <w:r>
        <w:rPr>
          <w:b/>
          <w:bCs/>
          <w:color w:val="6B7280"/>
          <w:sz w:val="19"/>
          <w:szCs w:val="19"/>
        </w:rPr>
        <w:t xml:space="preserve">Real-World Use</w:t>
      </w:r>
    </w:p>
    <w:p>
      <w:pPr>
        <w:spacing w:after="120" w:line="288"/>
      </w:pPr>
      <w:r>
        <w:rPr>
          <w:color w:val="222222"/>
          <w:sz w:val="21"/>
          <w:szCs w:val="21"/>
        </w:rPr>
        <w:t xml:space="preserve">Standardizes returns across holding periods of different lengths so a 3-year and a 7-year investment can be compared fairly on an annualized basis.</w:t>
      </w:r>
    </w:p>
    <w:p>
      <w:pPr>
        <w:spacing w:after="60" w:before="100"/>
      </w:pPr>
      <w:r>
        <w:rPr>
          <w:b/>
          <w:bCs/>
          <w:color w:val="6B7280"/>
          <w:sz w:val="19"/>
          <w:szCs w:val="19"/>
        </w:rPr>
        <w:t xml:space="preserve">Worked Example</w:t>
      </w:r>
    </w:p>
    <w:p>
      <w:pPr>
        <w:spacing w:after="120" w:line="288"/>
      </w:pPr>
      <w:r>
        <w:rPr>
          <w:color w:val="222222"/>
          <w:sz w:val="21"/>
          <w:szCs w:val="21"/>
        </w:rPr>
        <w:t xml:space="preserve">₹1,00,000 grows to ₹1,95,000 over 5 years → CAGR = (1.95)^(1/5) − 1 ≈ 14.36% per year</w:t>
      </w:r>
    </w:p>
    <w:p>
      <w:pPr>
        <w:spacing w:after="200"/>
      </w:pPr>
    </w:p>
    <w:p>
      <w:pPr>
        <w:pStyle w:val="Heading3"/>
        <w:spacing w:after="100" w:before="220"/>
      </w:pPr>
      <w:r>
        <w:rPr>
          <w:b/>
          <w:bCs/>
          <w:color w:val="1F3864"/>
          <w:sz w:val="22"/>
          <w:szCs w:val="22"/>
        </w:rPr>
        <w:t xml:space="preserve">5.13 XIRR (Irregular Cash 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2D0" w:sz="4"/>
              <w:left w:val="single" w:color="B7C2D0" w:sz="4"/>
              <w:bottom w:val="single" w:color="B7C2D0" w:sz="4"/>
              <w:right w:val="single" w:color="B7C2D0" w:sz="4"/>
            </w:tcBorders>
            <w:shd w:fill="F4F6FA" w:color="auto" w:val="clear"/>
            <w:tcMar>
              <w:top w:type="dxa" w:w="140"/>
              <w:left w:type="dxa" w:w="200"/>
              <w:bottom w:type="dxa" w:w="140"/>
              <w:right w:type="dxa" w:w="200"/>
            </w:tcMar>
          </w:tcPr>
          <w:p>
            <w:pPr>
              <w:spacing w:after="60"/>
            </w:pPr>
            <w:r>
              <w:rPr>
                <w:rFonts w:ascii="Consolas" w:cs="Consolas" w:eastAsia="Consolas" w:hAnsi="Consolas"/>
                <w:b/>
                <w:bCs/>
                <w:color w:val="1F3864"/>
                <w:sz w:val="21"/>
                <w:szCs w:val="21"/>
              </w:rPr>
              <w:t xml:space="preserve">Solve for r such that:   Σ [i]  CFi / (1+r)^((di − d0)/365)  =  0</w:t>
            </w:r>
          </w:p>
          <w:p>
            <w:pPr>
              <w:spacing w:after="0"/>
            </w:pPr>
            <w:r>
              <w:rPr>
                <w:rFonts w:ascii="Consolas" w:cs="Consolas" w:eastAsia="Consolas" w:hAnsi="Consolas"/>
                <w:b w:val="false"/>
                <w:bCs w:val="false"/>
                <w:color w:val="1F3864"/>
                <w:sz w:val="21"/>
                <w:szCs w:val="21"/>
              </w:rPr>
              <w:t xml:space="preserve">Solved numerically (Newton-Raphson):  r(n+1) = r(n) − f(r(n)) / f'(r(n))</w:t>
            </w:r>
          </w:p>
        </w:tc>
      </w:tr>
    </w:tbl>
    <w:p>
      <w:pPr>
        <w:spacing w:after="80"/>
      </w:pPr>
    </w:p>
    <w:p>
      <w:pPr>
        <w:spacing w:after="60" w:before="100"/>
      </w:pPr>
      <w:r>
        <w:rPr>
          <w:b/>
          <w:bCs/>
          <w:color w:val="6B7280"/>
          <w:sz w:val="19"/>
          <w:szCs w:val="19"/>
        </w:rPr>
        <w:t xml:space="preserve">Variables</w:t>
      </w:r>
    </w:p>
    <w:p>
      <w:pPr>
        <w:pStyle w:val="ListParagraph"/>
        <w:numPr>
          <w:ilvl w:val="0"/>
          <w:numId w:val="2"/>
        </w:numPr>
        <w:spacing w:after="60"/>
      </w:pPr>
      <w:r>
        <w:rPr>
          <w:color w:val="222222"/>
          <w:sz w:val="21"/>
          <w:szCs w:val="21"/>
        </w:rPr>
        <w:t xml:space="preserve">CFi — cash flow i (negative for deposits/buys, positive for withdrawals/current value)</w:t>
      </w:r>
    </w:p>
    <w:p>
      <w:pPr>
        <w:pStyle w:val="ListParagraph"/>
        <w:numPr>
          <w:ilvl w:val="0"/>
          <w:numId w:val="2"/>
        </w:numPr>
        <w:spacing w:after="60"/>
      </w:pPr>
      <w:r>
        <w:rPr>
          <w:color w:val="222222"/>
          <w:sz w:val="21"/>
          <w:szCs w:val="21"/>
        </w:rPr>
        <w:t xml:space="preserve">di − d0 — days between cash flow i and the first cash flow</w:t>
      </w:r>
    </w:p>
    <w:p>
      <w:pPr>
        <w:spacing w:after="60" w:before="100"/>
      </w:pPr>
      <w:r>
        <w:rPr>
          <w:b/>
          <w:bCs/>
          <w:color w:val="6B7280"/>
          <w:sz w:val="19"/>
          <w:szCs w:val="19"/>
        </w:rPr>
        <w:t xml:space="preserve">Real-World Use</w:t>
      </w:r>
    </w:p>
    <w:p>
      <w:pPr>
        <w:spacing w:after="120" w:line="288"/>
      </w:pPr>
      <w:r>
        <w:rPr>
          <w:color w:val="222222"/>
          <w:sz w:val="21"/>
          <w:szCs w:val="21"/>
        </w:rPr>
        <w:t xml:space="preserve">The actual formula behind the 'returns' shown in every SIP / mutual-fund app in India — correctly handles investors who deposit irregular amounts on irregular dates, which CAGR cannot do.</w:t>
      </w:r>
    </w:p>
    <w:p>
      <w:pPr>
        <w:spacing w:after="60" w:before="100"/>
      </w:pPr>
      <w:r>
        <w:rPr>
          <w:b/>
          <w:bCs/>
          <w:color w:val="6B7280"/>
          <w:sz w:val="19"/>
          <w:szCs w:val="19"/>
        </w:rPr>
        <w:t xml:space="preserve">Worked Example</w:t>
      </w:r>
    </w:p>
    <w:p>
      <w:pPr>
        <w:spacing w:after="120" w:line="288"/>
      </w:pPr>
      <w:r>
        <w:rPr>
          <w:color w:val="222222"/>
          <w:sz w:val="21"/>
          <w:szCs w:val="21"/>
        </w:rPr>
        <w:t xml:space="preserve">Deposits of ₹10,000/month for 12 months, final value ₹1,32,000 → solving the equation numerically yields an XIRR of roughly 15.8% annualized.</w:t>
      </w:r>
    </w:p>
    <w:p>
      <w:pPr>
        <w:spacing w:after="200"/>
      </w:pPr>
    </w:p>
    <w:p>
      <w:pPr>
        <w:pStyle w:val="Heading3"/>
        <w:spacing w:after="100" w:before="220"/>
      </w:pPr>
      <w:r>
        <w:rPr>
          <w:b/>
          <w:bCs/>
          <w:color w:val="1F3864"/>
          <w:sz w:val="22"/>
          <w:szCs w:val="22"/>
        </w:rPr>
        <w:t xml:space="preserve">5.14 Rebalancing Drift &amp; Trigger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2D0" w:sz="4"/>
              <w:left w:val="single" w:color="B7C2D0" w:sz="4"/>
              <w:bottom w:val="single" w:color="B7C2D0" w:sz="4"/>
              <w:right w:val="single" w:color="B7C2D0" w:sz="4"/>
            </w:tcBorders>
            <w:shd w:fill="F4F6FA" w:color="auto" w:val="clear"/>
            <w:tcMar>
              <w:top w:type="dxa" w:w="140"/>
              <w:left w:type="dxa" w:w="200"/>
              <w:bottom w:type="dxa" w:w="140"/>
              <w:right w:type="dxa" w:w="200"/>
            </w:tcMar>
          </w:tcPr>
          <w:p>
            <w:pPr>
              <w:spacing w:after="60"/>
            </w:pPr>
            <w:r>
              <w:rPr>
                <w:rFonts w:ascii="Consolas" w:cs="Consolas" w:eastAsia="Consolas" w:hAnsi="Consolas"/>
                <w:b/>
                <w:bCs/>
                <w:color w:val="1F3864"/>
                <w:sz w:val="21"/>
                <w:szCs w:val="21"/>
              </w:rPr>
              <w:t xml:space="preserve">drift_i     = | currentWeight_i − targetWeight_i |</w:t>
            </w:r>
          </w:p>
          <w:p>
            <w:pPr>
              <w:spacing w:after="60"/>
            </w:pPr>
            <w:r>
              <w:rPr>
                <w:rFonts w:ascii="Consolas" w:cs="Consolas" w:eastAsia="Consolas" w:hAnsi="Consolas"/>
                <w:b w:val="false"/>
                <w:bCs w:val="false"/>
                <w:color w:val="1F3864"/>
                <w:sz w:val="21"/>
                <w:szCs w:val="21"/>
              </w:rPr>
              <w:t xml:space="preserve">trigger_i   = drift_i &gt; absThreshold   OR   |currentWeight_i / targetWeight_i − 1| &gt; relThreshold</w:t>
            </w:r>
          </w:p>
          <w:p>
            <w:pPr>
              <w:spacing w:after="0"/>
            </w:pPr>
            <w:r>
              <w:rPr>
                <w:rFonts w:ascii="Consolas" w:cs="Consolas" w:eastAsia="Consolas" w:hAnsi="Consolas"/>
                <w:b w:val="false"/>
                <w:bCs w:val="false"/>
                <w:color w:val="1F3864"/>
                <w:sz w:val="21"/>
                <w:szCs w:val="21"/>
              </w:rPr>
              <w:t xml:space="preserve">tradeAmount_i = (targetWeight_i − currentWeight_i) × PortfolioValue</w:t>
            </w:r>
          </w:p>
        </w:tc>
      </w:tr>
    </w:tbl>
    <w:p>
      <w:pPr>
        <w:spacing w:after="80"/>
      </w:pPr>
    </w:p>
    <w:p>
      <w:pPr>
        <w:spacing w:after="60" w:before="100"/>
      </w:pPr>
      <w:r>
        <w:rPr>
          <w:b/>
          <w:bCs/>
          <w:color w:val="6B7280"/>
          <w:sz w:val="19"/>
          <w:szCs w:val="19"/>
        </w:rPr>
        <w:t xml:space="preserve">Variables</w:t>
      </w:r>
    </w:p>
    <w:p>
      <w:pPr>
        <w:pStyle w:val="ListParagraph"/>
        <w:numPr>
          <w:ilvl w:val="0"/>
          <w:numId w:val="2"/>
        </w:numPr>
        <w:spacing w:after="60"/>
      </w:pPr>
      <w:r>
        <w:rPr>
          <w:color w:val="222222"/>
          <w:sz w:val="21"/>
          <w:szCs w:val="21"/>
        </w:rPr>
        <w:t xml:space="preserve">absThreshold — e.g. 5 percentage points absolute drift</w:t>
      </w:r>
    </w:p>
    <w:p>
      <w:pPr>
        <w:pStyle w:val="ListParagraph"/>
        <w:numPr>
          <w:ilvl w:val="0"/>
          <w:numId w:val="2"/>
        </w:numPr>
        <w:spacing w:after="60"/>
      </w:pPr>
      <w:r>
        <w:rPr>
          <w:color w:val="222222"/>
          <w:sz w:val="21"/>
          <w:szCs w:val="21"/>
        </w:rPr>
        <w:t xml:space="preserve">relThreshold — e.g. 25% relative drift (common robo-advisor default)</w:t>
      </w:r>
    </w:p>
    <w:p>
      <w:pPr>
        <w:spacing w:after="60" w:before="100"/>
      </w:pPr>
      <w:r>
        <w:rPr>
          <w:b/>
          <w:bCs/>
          <w:color w:val="6B7280"/>
          <w:sz w:val="19"/>
          <w:szCs w:val="19"/>
        </w:rPr>
        <w:t xml:space="preserve">Real-World Use</w:t>
      </w:r>
    </w:p>
    <w:p>
      <w:pPr>
        <w:spacing w:after="120" w:line="288"/>
      </w:pPr>
      <w:r>
        <w:rPr>
          <w:color w:val="222222"/>
          <w:sz w:val="21"/>
          <w:szCs w:val="21"/>
        </w:rPr>
        <w:t xml:space="preserve">This is exactly what every robo-advisor (Betterment, Wealthfront-style) and round-based simulation engine runs on a schedule to decide what to buy/sell and keep a portfolio aligned to its target policy.</w:t>
      </w:r>
    </w:p>
    <w:p>
      <w:pPr>
        <w:spacing w:after="60" w:before="100"/>
      </w:pPr>
      <w:r>
        <w:rPr>
          <w:b/>
          <w:bCs/>
          <w:color w:val="6B7280"/>
          <w:sz w:val="19"/>
          <w:szCs w:val="19"/>
        </w:rPr>
        <w:t xml:space="preserve">Worked Example</w:t>
      </w:r>
    </w:p>
    <w:p>
      <w:pPr>
        <w:spacing w:after="120" w:line="288"/>
      </w:pPr>
      <w:r>
        <w:rPr>
          <w:color w:val="222222"/>
          <w:sz w:val="21"/>
          <w:szCs w:val="21"/>
        </w:rPr>
        <w:t xml:space="preserve">Target 60% equity, current drifted to 68% after a rally, absThreshold = 5% → drift = 8% &gt; 5%, trade triggers a sell of 8% of portfolio value from equity into the underweight asset(s).</w:t>
      </w:r>
    </w:p>
    <w:p>
      <w:pPr>
        <w:spacing w:after="200"/>
      </w:pPr>
    </w:p>
    <w:p>
      <w:pPr>
        <w:pStyle w:val="Heading3"/>
        <w:spacing w:after="100" w:before="220"/>
      </w:pPr>
      <w:r>
        <w:rPr>
          <w:b/>
          <w:bCs/>
          <w:color w:val="1F3864"/>
          <w:sz w:val="22"/>
          <w:szCs w:val="22"/>
        </w:rPr>
        <w:t xml:space="preserve">5.15 Markowitz Mean-Variance Optimization (Efficient Frontier)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2D0" w:sz="4"/>
              <w:left w:val="single" w:color="B7C2D0" w:sz="4"/>
              <w:bottom w:val="single" w:color="B7C2D0" w:sz="4"/>
              <w:right w:val="single" w:color="B7C2D0" w:sz="4"/>
            </w:tcBorders>
            <w:shd w:fill="F4F6FA" w:color="auto" w:val="clear"/>
            <w:tcMar>
              <w:top w:type="dxa" w:w="140"/>
              <w:left w:type="dxa" w:w="200"/>
              <w:bottom w:type="dxa" w:w="140"/>
              <w:right w:type="dxa" w:w="200"/>
            </w:tcMar>
          </w:tcPr>
          <w:p>
            <w:pPr>
              <w:spacing w:after="60"/>
            </w:pPr>
            <w:r>
              <w:rPr>
                <w:rFonts w:ascii="Consolas" w:cs="Consolas" w:eastAsia="Consolas" w:hAnsi="Consolas"/>
                <w:b/>
                <w:bCs/>
                <w:color w:val="1F3864"/>
                <w:sz w:val="21"/>
                <w:szCs w:val="21"/>
              </w:rPr>
              <w:t xml:space="preserve">minimize   wᵀ · Σ · w</w:t>
            </w:r>
          </w:p>
          <w:p>
            <w:pPr>
              <w:spacing w:after="60"/>
            </w:pPr>
            <w:r>
              <w:rPr>
                <w:rFonts w:ascii="Consolas" w:cs="Consolas" w:eastAsia="Consolas" w:hAnsi="Consolas"/>
                <w:b w:val="false"/>
                <w:bCs w:val="false"/>
                <w:color w:val="1F3864"/>
                <w:sz w:val="21"/>
                <w:szCs w:val="21"/>
              </w:rPr>
              <w:t xml:space="preserve">subject to:  Σ wi = 1,   wᵀ · E(R) = targetReturn,   wi ≥ 0  (no short-selling)</w:t>
            </w:r>
          </w:p>
          <w:p>
            <w:pPr>
              <w:spacing w:after="0"/>
            </w:pPr>
            <w:r>
              <w:rPr>
                <w:rFonts w:ascii="Consolas" w:cs="Consolas" w:eastAsia="Consolas" w:hAnsi="Consolas"/>
                <w:b w:val="false"/>
                <w:bCs w:val="false"/>
                <w:color w:val="1F3864"/>
                <w:sz w:val="21"/>
                <w:szCs w:val="21"/>
              </w:rPr>
              <w:t xml:space="preserve">Solved via quadratic programming (scipy.optimize.minimize, method='SLSQP')</w:t>
            </w:r>
          </w:p>
        </w:tc>
      </w:tr>
    </w:tbl>
    <w:p>
      <w:pPr>
        <w:spacing w:after="80"/>
      </w:pPr>
    </w:p>
    <w:p>
      <w:pPr>
        <w:spacing w:after="60" w:before="100"/>
      </w:pPr>
      <w:r>
        <w:rPr>
          <w:b/>
          <w:bCs/>
          <w:color w:val="6B7280"/>
          <w:sz w:val="19"/>
          <w:szCs w:val="19"/>
        </w:rPr>
        <w:t xml:space="preserve">Variables</w:t>
      </w:r>
    </w:p>
    <w:p>
      <w:pPr>
        <w:pStyle w:val="ListParagraph"/>
        <w:numPr>
          <w:ilvl w:val="0"/>
          <w:numId w:val="2"/>
        </w:numPr>
        <w:spacing w:after="60"/>
      </w:pPr>
      <w:r>
        <w:rPr>
          <w:color w:val="222222"/>
          <w:sz w:val="21"/>
          <w:szCs w:val="21"/>
        </w:rPr>
        <w:t xml:space="preserve">The objective is portfolio variance; the constraints fix the target return and force full investment</w:t>
      </w:r>
    </w:p>
    <w:p>
      <w:pPr>
        <w:spacing w:after="60" w:before="100"/>
      </w:pPr>
      <w:r>
        <w:rPr>
          <w:b/>
          <w:bCs/>
          <w:color w:val="6B7280"/>
          <w:sz w:val="19"/>
          <w:szCs w:val="19"/>
        </w:rPr>
        <w:t xml:space="preserve">Real-World Use</w:t>
      </w:r>
    </w:p>
    <w:p>
      <w:pPr>
        <w:spacing w:after="120" w:line="288"/>
      </w:pPr>
      <w:r>
        <w:rPr>
          <w:color w:val="222222"/>
          <w:sz w:val="21"/>
          <w:szCs w:val="21"/>
        </w:rPr>
        <w:t xml:space="preserve">The mathematical foundation of Modern Portfolio Theory (Nobel Prize, 1990). Sweeping the target return across a range and re-solving each time traces the efficient frontier — the set of portfolios offering the lowest possible risk for every achievable return. Pure convex optimization — no ML needed.</w:t>
      </w:r>
    </w:p>
    <w:p>
      <w:pPr>
        <w:spacing w:after="60" w:before="100"/>
      </w:pPr>
      <w:r>
        <w:rPr>
          <w:b/>
          <w:bCs/>
          <w:color w:val="6B7280"/>
          <w:sz w:val="19"/>
          <w:szCs w:val="19"/>
        </w:rPr>
        <w:t xml:space="preserve">Worked Example</w:t>
      </w:r>
    </w:p>
    <w:p>
      <w:pPr>
        <w:spacing w:after="120" w:line="288"/>
      </w:pPr>
      <w:r>
        <w:rPr>
          <w:color w:val="222222"/>
          <w:sz w:val="21"/>
          <w:szCs w:val="21"/>
        </w:rPr>
        <w:t xml:space="preserve">For a 4-asset universe, solving at 15 target-return points between the minimum-variance portfolio and the maximum-return asset produces the frontier curve rendered in the frontend (Section 7).</w:t>
      </w:r>
    </w:p>
    <w:p>
      <w:pPr>
        <w:spacing w:after="200"/>
      </w:pPr>
    </w:p>
    <w:p>
      <w:r>
        <w:br w:type="page"/>
      </w:r>
    </w:p>
    <w:p>
      <w:pPr>
        <w:pStyle w:val="Heading1"/>
        <w:pBdr>
          <w:bottom w:val="single" w:color="2E5395" w:sz="6" w:space="4"/>
        </w:pBdr>
        <w:spacing w:after="200" w:before="400"/>
      </w:pPr>
      <w:r>
        <w:rPr>
          <w:b/>
          <w:bCs/>
          <w:color w:val="1F3864"/>
          <w:sz w:val="30"/>
          <w:szCs w:val="30"/>
        </w:rPr>
        <w:t xml:space="preserve">6. API Design</w:t>
      </w:r>
    </w:p>
    <w:p>
      <w:pPr>
        <w:spacing w:after="120" w:line="288"/>
      </w:pPr>
      <w:r>
        <w:rPr>
          <w:color w:val="222222"/>
          <w:sz w:val="21"/>
          <w:szCs w:val="21"/>
        </w:rPr>
        <w:t xml:space="preserve">All endpoints are stateless with respect to computation — given the same inputs (portfolio holdings + price history as of a timestamp), they always return the same output, which makes every formula trivially unit-testable.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26"/>
      </w:tblGrid>
      <w:tr>
        <w:trPr>
          <w:tblHeader/>
        </w:trPr>
        <w:tc>
          <w:tcPr>
            <w:tcW w:type="dxa" w:w="900"/>
            <w:tcBorders>
              <w:top w:val="single" w:color="B7C2D0" w:sz="4"/>
              <w:left w:val="single" w:color="B7C2D0" w:sz="4"/>
              <w:bottom w:val="single" w:color="B7C2D0" w:sz="4"/>
              <w:right w:val="single" w:color="B7C2D0" w:sz="4"/>
            </w:tcBorders>
            <w:shd w:fill="1F3864" w:color="auto" w:val="clear"/>
            <w:tcMar>
              <w:top w:type="dxa" w:w="100"/>
              <w:left w:type="dxa" w:w="120"/>
              <w:bottom w:type="dxa" w:w="100"/>
              <w:right w:type="dxa" w:w="120"/>
            </w:tcMar>
            <w:vAlign w:val="center"/>
          </w:tcPr>
          <w:p>
            <w:r>
              <w:rPr>
                <w:b/>
                <w:bCs/>
                <w:color w:val="FFFFFF"/>
                <w:sz w:val="19"/>
                <w:szCs w:val="19"/>
              </w:rPr>
              <w:t xml:space="preserve">Method</w:t>
            </w:r>
          </w:p>
        </w:tc>
        <w:tc>
          <w:tcPr>
            <w:tcW w:type="dxa" w:w="900"/>
            <w:tcBorders>
              <w:top w:val="single" w:color="B7C2D0" w:sz="4"/>
              <w:left w:val="single" w:color="B7C2D0" w:sz="4"/>
              <w:bottom w:val="single" w:color="B7C2D0" w:sz="4"/>
              <w:right w:val="single" w:color="B7C2D0" w:sz="4"/>
            </w:tcBorders>
            <w:shd w:fill="1F3864" w:color="auto" w:val="clear"/>
            <w:tcMar>
              <w:top w:type="dxa" w:w="100"/>
              <w:left w:type="dxa" w:w="120"/>
              <w:bottom w:type="dxa" w:w="100"/>
              <w:right w:type="dxa" w:w="120"/>
            </w:tcMar>
            <w:vAlign w:val="center"/>
          </w:tcPr>
          <w:p>
            <w:r>
              <w:rPr>
                <w:b/>
                <w:bCs/>
                <w:color w:val="FFFFFF"/>
                <w:sz w:val="19"/>
                <w:szCs w:val="19"/>
              </w:rPr>
              <w:t xml:space="preserve">Endpoint</w:t>
            </w:r>
          </w:p>
        </w:tc>
        <w:tc>
          <w:tcPr>
            <w:tcW w:type="dxa" w:w="900"/>
            <w:tcBorders>
              <w:top w:val="single" w:color="B7C2D0" w:sz="4"/>
              <w:left w:val="single" w:color="B7C2D0" w:sz="4"/>
              <w:bottom w:val="single" w:color="B7C2D0" w:sz="4"/>
              <w:right w:val="single" w:color="B7C2D0" w:sz="4"/>
            </w:tcBorders>
            <w:shd w:fill="1F3864" w:color="auto" w:val="clear"/>
            <w:tcMar>
              <w:top w:type="dxa" w:w="100"/>
              <w:left w:type="dxa" w:w="120"/>
              <w:bottom w:type="dxa" w:w="100"/>
              <w:right w:type="dxa" w:w="120"/>
            </w:tcMar>
            <w:vAlign w:val="center"/>
          </w:tcPr>
          <w:p>
            <w:r>
              <w:rPr>
                <w:b/>
                <w:bCs/>
                <w:color w:val="FFFFFF"/>
                <w:sz w:val="19"/>
                <w:szCs w:val="19"/>
              </w:rPr>
              <w:t xml:space="preserve">Description</w:t>
            </w:r>
          </w:p>
        </w:tc>
      </w:tr>
      <w:tr>
        <w:trPr>
          <w:cantSplit/>
        </w:trPr>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POST</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/api/v1/portfolios</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Create a portfolio with initial holdings</w:t>
            </w:r>
          </w:p>
        </w:tc>
      </w:tr>
      <w:tr>
        <w:trPr>
          <w:cantSplit/>
        </w:trPr>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GET</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/api/v1/portfolios/{id}/metrics</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Return, variance, Sharpe, Sortino, Treynor, Alpha for the portfolio</w:t>
            </w:r>
          </w:p>
        </w:tc>
      </w:tr>
      <w:tr>
        <w:trPr>
          <w:cantSplit/>
        </w:trPr>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GET</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/api/v1/portfolios/{id}/risk</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Return VaR (parametric + historical), CVaR, Max Drawdown</w:t>
            </w:r>
          </w:p>
        </w:tc>
      </w:tr>
      <w:tr>
        <w:trPr>
          <w:cantSplit/>
        </w:trPr>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GET</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/api/v1/portfolios/{id}/beta</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Return per-asset beta vs. selected benchmark</w:t>
            </w:r>
          </w:p>
        </w:tc>
      </w:tr>
      <w:tr>
        <w:trPr>
          <w:cantSplit/>
        </w:trPr>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GET</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/api/v1/portfolios/{id}/xirr</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Return XIRR across all recorded cash flows</w:t>
            </w:r>
          </w:p>
        </w:tc>
      </w:tr>
      <w:tr>
        <w:trPr>
          <w:cantSplit/>
        </w:trPr>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POST</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/api/v1/portfolios/{id}/rebalance/check</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Return per-asset drift and rebalance trigger flags</w:t>
            </w:r>
          </w:p>
        </w:tc>
      </w:tr>
      <w:tr>
        <w:trPr>
          <w:cantSplit/>
        </w:trPr>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POST</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/api/v1/portfolios/{id}/rebalance/execute</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Compute trade sizing to return to target weights</w:t>
            </w:r>
          </w:p>
        </w:tc>
      </w:tr>
      <w:tr>
        <w:trPr>
          <w:cantSplit/>
        </w:trPr>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POST</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/api/v1/optimize/efficient-frontier</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Given asset universe + constraints, return frontier points</w:t>
            </w:r>
          </w:p>
        </w:tc>
      </w:tr>
      <w:tr>
        <w:trPr>
          <w:cantSplit/>
        </w:trPr>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POST</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/api/v1/scenarios/simulate</w:t>
            </w:r>
          </w:p>
        </w:tc>
        <w:tc>
          <w:tcPr>
            <w:tcW w:type="dxa" w:w="9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Stateless what-if recompute for a hypothetical weight set</w:t>
            </w:r>
          </w:p>
        </w:tc>
      </w:tr>
    </w:tbl>
    <w:p>
      <w:pPr>
        <w:spacing w:after="160"/>
      </w:pPr>
    </w:p>
    <w:p>
      <w:pPr>
        <w:pStyle w:val="Heading2"/>
        <w:spacing w:after="140" w:before="300"/>
      </w:pPr>
      <w:r>
        <w:rPr>
          <w:b/>
          <w:bCs/>
          <w:color w:val="2E5395"/>
          <w:sz w:val="25"/>
          <w:szCs w:val="25"/>
        </w:rPr>
        <w:t xml:space="preserve">6.1 Example Response —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2D0" w:sz="4"/>
              <w:left w:val="single" w:color="B7C2D0" w:sz="4"/>
              <w:bottom w:val="single" w:color="B7C2D0" w:sz="4"/>
              <w:right w:val="single" w:color="B7C2D0" w:sz="4"/>
            </w:tcBorders>
            <w:shd w:fill="F4F6FA" w:color="auto" w:val="clear"/>
            <w:tcMar>
              <w:top w:type="dxa" w:w="140"/>
              <w:left w:type="dxa" w:w="200"/>
              <w:bottom w:type="dxa" w:w="140"/>
              <w:right w:type="dxa" w:w="200"/>
            </w:tcMar>
          </w:tcPr>
          <w:p>
            <w:pPr>
              <w:spacing w:after="60"/>
            </w:pPr>
            <w:r>
              <w:rPr>
                <w:rFonts w:ascii="Consolas" w:cs="Consolas" w:eastAsia="Consolas" w:hAnsi="Consolas"/>
                <w:b/>
                <w:bCs/>
                <w:color w:val="1F3864"/>
                <w:sz w:val="21"/>
                <w:szCs w:val="21"/>
              </w:rPr>
              <w:t xml:space="preserve">{</w:t>
            </w:r>
          </w:p>
          <w:p>
            <w:pPr>
              <w:spacing w:after="60"/>
            </w:pPr>
            <w:r>
              <w:rPr>
                <w:rFonts w:ascii="Consolas" w:cs="Consolas" w:eastAsia="Consolas" w:hAnsi="Consolas"/>
                <w:b w:val="false"/>
                <w:bCs w:val="false"/>
                <w:color w:val="1F3864"/>
                <w:sz w:val="21"/>
                <w:szCs w:val="21"/>
              </w:rPr>
              <w:t xml:space="preserve">  "expected_return": 0.1135,</w:t>
            </w:r>
          </w:p>
          <w:p>
            <w:pPr>
              <w:spacing w:after="60"/>
            </w:pPr>
            <w:r>
              <w:rPr>
                <w:rFonts w:ascii="Consolas" w:cs="Consolas" w:eastAsia="Consolas" w:hAnsi="Consolas"/>
                <w:b w:val="false"/>
                <w:bCs w:val="false"/>
                <w:color w:val="1F3864"/>
                <w:sz w:val="21"/>
                <w:szCs w:val="21"/>
              </w:rPr>
              <w:t xml:space="preserve">  "volatility": 0.1494,</w:t>
            </w:r>
          </w:p>
          <w:p>
            <w:pPr>
              <w:spacing w:after="60"/>
            </w:pPr>
            <w:r>
              <w:rPr>
                <w:rFonts w:ascii="Consolas" w:cs="Consolas" w:eastAsia="Consolas" w:hAnsi="Consolas"/>
                <w:b w:val="false"/>
                <w:bCs w:val="false"/>
                <w:color w:val="1F3864"/>
                <w:sz w:val="21"/>
                <w:szCs w:val="21"/>
              </w:rPr>
              <w:t xml:space="preserve">  "sharpe_ratio": 0.30,</w:t>
            </w:r>
          </w:p>
          <w:p>
            <w:pPr>
              <w:spacing w:after="60"/>
            </w:pPr>
            <w:r>
              <w:rPr>
                <w:rFonts w:ascii="Consolas" w:cs="Consolas" w:eastAsia="Consolas" w:hAnsi="Consolas"/>
                <w:b w:val="false"/>
                <w:bCs w:val="false"/>
                <w:color w:val="1F3864"/>
                <w:sz w:val="21"/>
                <w:szCs w:val="21"/>
              </w:rPr>
              <w:t xml:space="preserve">  "sortino_ratio": 0.41,</w:t>
            </w:r>
          </w:p>
          <w:p>
            <w:pPr>
              <w:spacing w:after="60"/>
            </w:pPr>
            <w:r>
              <w:rPr>
                <w:rFonts w:ascii="Consolas" w:cs="Consolas" w:eastAsia="Consolas" w:hAnsi="Consolas"/>
                <w:b w:val="false"/>
                <w:bCs w:val="false"/>
                <w:color w:val="1F3864"/>
                <w:sz w:val="21"/>
                <w:szCs w:val="21"/>
              </w:rPr>
              <w:t xml:space="preserve">  "beta": 1.12,</w:t>
            </w:r>
          </w:p>
          <w:p>
            <w:pPr>
              <w:spacing w:after="60"/>
            </w:pPr>
            <w:r>
              <w:rPr>
                <w:rFonts w:ascii="Consolas" w:cs="Consolas" w:eastAsia="Consolas" w:hAnsi="Consolas"/>
                <w:b w:val="false"/>
                <w:bCs w:val="false"/>
                <w:color w:val="1F3864"/>
                <w:sz w:val="21"/>
                <w:szCs w:val="21"/>
              </w:rPr>
              <w:t xml:space="preserve">  "alpha": 0.0045,</w:t>
            </w:r>
          </w:p>
          <w:p>
            <w:pPr>
              <w:spacing w:after="60"/>
            </w:pPr>
            <w:r>
              <w:rPr>
                <w:rFonts w:ascii="Consolas" w:cs="Consolas" w:eastAsia="Consolas" w:hAnsi="Consolas"/>
                <w:b w:val="false"/>
                <w:bCs w:val="false"/>
                <w:color w:val="1F3864"/>
                <w:sz w:val="21"/>
                <w:szCs w:val="21"/>
              </w:rPr>
              <w:t xml:space="preserve">  "treynor_ratio": 0.050,</w:t>
            </w:r>
          </w:p>
          <w:p>
            <w:pPr>
              <w:spacing w:after="60"/>
            </w:pPr>
            <w:r>
              <w:rPr>
                <w:rFonts w:ascii="Consolas" w:cs="Consolas" w:eastAsia="Consolas" w:hAnsi="Consolas"/>
                <w:b w:val="false"/>
                <w:bCs w:val="false"/>
                <w:color w:val="1F3864"/>
                <w:sz w:val="21"/>
                <w:szCs w:val="21"/>
              </w:rPr>
              <w:t xml:space="preserve">  "as_of": "2026-08-24T00:00:00Z"</w:t>
            </w:r>
          </w:p>
          <w:p>
            <w:pPr>
              <w:spacing w:after="0"/>
            </w:pPr>
            <w:r>
              <w:rPr>
                <w:rFonts w:ascii="Consolas" w:cs="Consolas" w:eastAsia="Consolas" w:hAnsi="Consolas"/>
                <w:b w:val="false"/>
                <w:bCs w:val="false"/>
                <w:color w:val="1F3864"/>
                <w:sz w:val="21"/>
                <w:szCs w:val="21"/>
              </w:rPr>
              <w:t xml:space="preserve">}</w:t>
            </w:r>
          </w:p>
        </w:tc>
      </w:tr>
    </w:tbl>
    <w:p>
      <w:pPr>
        <w:pStyle w:val="Heading1"/>
        <w:pBdr>
          <w:bottom w:val="single" w:color="2E5395" w:sz="6" w:space="4"/>
        </w:pBdr>
        <w:spacing w:after="200" w:before="400"/>
      </w:pPr>
      <w:r>
        <w:rPr>
          <w:b/>
          <w:bCs/>
          <w:color w:val="1F3864"/>
          <w:sz w:val="30"/>
          <w:szCs w:val="30"/>
        </w:rPr>
        <w:t xml:space="preserve">7. Frontend Architecture</w:t>
      </w:r>
    </w:p>
    <w:p>
      <w:pPr>
        <w:pStyle w:val="Heading2"/>
        <w:spacing w:after="140" w:before="300"/>
      </w:pPr>
      <w:r>
        <w:rPr>
          <w:b/>
          <w:bCs/>
          <w:color w:val="2E5395"/>
          <w:sz w:val="25"/>
          <w:szCs w:val="25"/>
        </w:rPr>
        <w:t xml:space="preserve">7.1 Component Tree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2D0" w:sz="4"/>
              <w:left w:val="single" w:color="B7C2D0" w:sz="4"/>
              <w:bottom w:val="single" w:color="B7C2D0" w:sz="4"/>
              <w:right w:val="single" w:color="B7C2D0" w:sz="4"/>
            </w:tcBorders>
            <w:shd w:fill="F4F6FA" w:color="auto" w:val="clear"/>
            <w:tcMar>
              <w:top w:type="dxa" w:w="140"/>
              <w:left w:type="dxa" w:w="200"/>
              <w:bottom w:type="dxa" w:w="140"/>
              <w:right w:type="dxa" w:w="200"/>
            </w:tcMar>
          </w:tcPr>
          <w:p>
            <w:pPr>
              <w:spacing w:after="60"/>
            </w:pPr>
            <w:r>
              <w:rPr>
                <w:rFonts w:ascii="Consolas" w:cs="Consolas" w:eastAsia="Consolas" w:hAnsi="Consolas"/>
                <w:b/>
                <w:bCs/>
                <w:color w:val="1F3864"/>
                <w:sz w:val="21"/>
                <w:szCs w:val="21"/>
              </w:rPr>
              <w:t xml:space="preserve">&lt;PortfolioDashboard&gt;</w:t>
            </w:r>
          </w:p>
          <w:p>
            <w:pPr>
              <w:spacing w:after="60"/>
            </w:pPr>
            <w:r>
              <w:rPr>
                <w:rFonts w:ascii="Consolas" w:cs="Consolas" w:eastAsia="Consolas" w:hAnsi="Consolas"/>
                <w:b w:val="false"/>
                <w:bCs w:val="false"/>
                <w:color w:val="1F3864"/>
                <w:sz w:val="21"/>
                <w:szCs w:val="21"/>
              </w:rPr>
              <w:t xml:space="preserve">  &lt;HoldingsEditor /&gt;            // add/edit assets &amp; weights</w:t>
            </w:r>
          </w:p>
          <w:p>
            <w:pPr>
              <w:spacing w:after="60"/>
            </w:pPr>
            <w:r>
              <w:rPr>
                <w:rFonts w:ascii="Consolas" w:cs="Consolas" w:eastAsia="Consolas" w:hAnsi="Consolas"/>
                <w:b w:val="false"/>
                <w:bCs w:val="false"/>
                <w:color w:val="1F3864"/>
                <w:sz w:val="21"/>
                <w:szCs w:val="21"/>
              </w:rPr>
              <w:t xml:space="preserve">  &lt;AllocationSliders /&gt;         // drag weight -&gt; triggers /scenarios/simulate</w:t>
            </w:r>
          </w:p>
          <w:p>
            <w:pPr>
              <w:spacing w:after="60"/>
            </w:pPr>
            <w:r>
              <w:rPr>
                <w:rFonts w:ascii="Consolas" w:cs="Consolas" w:eastAsia="Consolas" w:hAnsi="Consolas"/>
                <w:b w:val="false"/>
                <w:bCs w:val="false"/>
                <w:color w:val="1F3864"/>
                <w:sz w:val="21"/>
                <w:szCs w:val="21"/>
              </w:rPr>
              <w:t xml:space="preserve">  &lt;MetricsPanel&gt;</w:t>
            </w:r>
          </w:p>
          <w:p>
            <w:pPr>
              <w:spacing w:after="60"/>
            </w:pPr>
            <w:r>
              <w:rPr>
                <w:rFonts w:ascii="Consolas" w:cs="Consolas" w:eastAsia="Consolas" w:hAnsi="Consolas"/>
                <w:b w:val="false"/>
                <w:bCs w:val="false"/>
                <w:color w:val="1F3864"/>
                <w:sz w:val="21"/>
                <w:szCs w:val="21"/>
              </w:rPr>
              <w:t xml:space="preserve">    &lt;RiskAdjustedReturnCards /&gt; // Sharpe / Sortino / Treynor / Alpha</w:t>
            </w:r>
          </w:p>
          <w:p>
            <w:pPr>
              <w:spacing w:after="60"/>
            </w:pPr>
            <w:r>
              <w:rPr>
                <w:rFonts w:ascii="Consolas" w:cs="Consolas" w:eastAsia="Consolas" w:hAnsi="Consolas"/>
                <w:b w:val="false"/>
                <w:bCs w:val="false"/>
                <w:color w:val="1F3864"/>
                <w:sz w:val="21"/>
                <w:szCs w:val="21"/>
              </w:rPr>
              <w:t xml:space="preserve">    &lt;VarCvarCard /&gt;</w:t>
            </w:r>
          </w:p>
          <w:p>
            <w:pPr>
              <w:spacing w:after="60"/>
            </w:pPr>
            <w:r>
              <w:rPr>
                <w:rFonts w:ascii="Consolas" w:cs="Consolas" w:eastAsia="Consolas" w:hAnsi="Consolas"/>
                <w:b w:val="false"/>
                <w:bCs w:val="false"/>
                <w:color w:val="1F3864"/>
                <w:sz w:val="21"/>
                <w:szCs w:val="21"/>
              </w:rPr>
              <w:t xml:space="preserve">  &lt;/MetricsPanel&gt;</w:t>
            </w:r>
          </w:p>
          <w:p>
            <w:pPr>
              <w:spacing w:after="60"/>
            </w:pPr>
            <w:r>
              <w:rPr>
                <w:rFonts w:ascii="Consolas" w:cs="Consolas" w:eastAsia="Consolas" w:hAnsi="Consolas"/>
                <w:b w:val="false"/>
                <w:bCs w:val="false"/>
                <w:color w:val="1F3864"/>
                <w:sz w:val="21"/>
                <w:szCs w:val="21"/>
              </w:rPr>
              <w:t xml:space="preserve">  &lt;DrawdownChart /&gt;             // time series + shaded MDD region</w:t>
            </w:r>
          </w:p>
          <w:p>
            <w:pPr>
              <w:spacing w:after="60"/>
            </w:pPr>
            <w:r>
              <w:rPr>
                <w:rFonts w:ascii="Consolas" w:cs="Consolas" w:eastAsia="Consolas" w:hAnsi="Consolas"/>
                <w:b w:val="false"/>
                <w:bCs w:val="false"/>
                <w:color w:val="1F3864"/>
                <w:sz w:val="21"/>
                <w:szCs w:val="21"/>
              </w:rPr>
              <w:t xml:space="preserve">  &lt;EfficientFrontierChart /&gt;    // scatter + current-portfolio marker</w:t>
            </w:r>
          </w:p>
          <w:p>
            <w:pPr>
              <w:spacing w:after="0"/>
            </w:pPr>
            <w:r>
              <w:rPr>
                <w:rFonts w:ascii="Consolas" w:cs="Consolas" w:eastAsia="Consolas" w:hAnsi="Consolas"/>
                <w:b w:val="false"/>
                <w:bCs w:val="false"/>
                <w:color w:val="1F3864"/>
                <w:sz w:val="21"/>
                <w:szCs w:val="21"/>
              </w:rPr>
              <w:t xml:space="preserve">  &lt;RebalanceAlertBanner /&gt;      // shows drift table + suggested trades</w:t>
            </w:r>
          </w:p>
        </w:tc>
      </w:tr>
    </w:tbl>
    <w:p>
      <w:pPr>
        <w:pStyle w:val="Heading2"/>
        <w:spacing w:after="140" w:before="300"/>
      </w:pPr>
      <w:r>
        <w:rPr>
          <w:b/>
          <w:bCs/>
          <w:color w:val="2E5395"/>
          <w:sz w:val="25"/>
          <w:szCs w:val="25"/>
        </w:rPr>
        <w:t xml:space="preserve">7.2 State &amp; Data Flow</w:t>
      </w:r>
    </w:p>
    <w:p>
      <w:pPr>
        <w:pStyle w:val="ListParagraph"/>
        <w:numPr>
          <w:ilvl w:val="0"/>
          <w:numId w:val="2"/>
        </w:numPr>
        <w:spacing w:after="60"/>
      </w:pPr>
      <w:r>
        <w:rPr>
          <w:color w:val="222222"/>
          <w:sz w:val="21"/>
          <w:szCs w:val="21"/>
        </w:rPr>
        <w:t xml:space="preserve">TanStack Query caches each metrics endpoint keyed by portfolio ID + holdings hash.</w:t>
      </w:r>
    </w:p>
    <w:p>
      <w:pPr>
        <w:pStyle w:val="ListParagraph"/>
        <w:numPr>
          <w:ilvl w:val="0"/>
          <w:numId w:val="2"/>
        </w:numPr>
        <w:spacing w:after="60"/>
      </w:pPr>
      <w:r>
        <w:rPr>
          <w:color w:val="222222"/>
          <w:sz w:val="21"/>
          <w:szCs w:val="21"/>
        </w:rPr>
        <w:t xml:space="preserve">Slider drags debounce 150ms then POST to /scenarios/simulate for a live, non-persisted recompute.</w:t>
      </w:r>
    </w:p>
    <w:p>
      <w:pPr>
        <w:pStyle w:val="ListParagraph"/>
        <w:numPr>
          <w:ilvl w:val="0"/>
          <w:numId w:val="2"/>
        </w:numPr>
        <w:spacing w:after="60"/>
      </w:pPr>
      <w:r>
        <w:rPr>
          <w:color w:val="222222"/>
          <w:sz w:val="21"/>
          <w:szCs w:val="21"/>
        </w:rPr>
        <w:t xml:space="preserve">A generated TypeScript client (from FastAPI's OpenAPI schema) keeps request/response types in sync with the backend Pydantic models automatically.</w:t>
      </w:r>
    </w:p>
    <w:p>
      <w:pPr>
        <w:pStyle w:val="Heading1"/>
        <w:pBdr>
          <w:bottom w:val="single" w:color="2E5395" w:sz="6" w:space="4"/>
        </w:pBdr>
        <w:spacing w:after="200" w:before="400"/>
      </w:pPr>
      <w:r>
        <w:rPr>
          <w:b/>
          <w:bCs/>
          <w:color w:val="1F3864"/>
          <w:sz w:val="30"/>
          <w:szCs w:val="30"/>
        </w:rPr>
        <w:t xml:space="preserve">8. Non-Functional Requirements</w:t>
      </w:r>
    </w:p>
    <w:p>
      <w:pPr>
        <w:pStyle w:val="ListParagraph"/>
        <w:numPr>
          <w:ilvl w:val="0"/>
          <w:numId w:val="2"/>
        </w:numPr>
        <w:spacing w:after="60"/>
      </w:pPr>
      <w:r>
        <w:rPr>
          <w:color w:val="222222"/>
          <w:sz w:val="21"/>
          <w:szCs w:val="21"/>
        </w:rPr>
        <w:t xml:space="preserve">Precision: all monetary values stored as Decimal end-to-end; NumPy float64 used only inside pure statistical functions, never at the storage boundary.</w:t>
      </w:r>
    </w:p>
    <w:p>
      <w:pPr>
        <w:pStyle w:val="ListParagraph"/>
        <w:numPr>
          <w:ilvl w:val="0"/>
          <w:numId w:val="2"/>
        </w:numPr>
        <w:spacing w:after="60"/>
      </w:pPr>
      <w:r>
        <w:rPr>
          <w:color w:val="222222"/>
          <w:sz w:val="21"/>
          <w:szCs w:val="21"/>
        </w:rPr>
        <w:t xml:space="preserve">Performance: /metrics and /risk endpoints respond in &lt;200ms for portfolios up to 50 assets using a cached covariance matrix.</w:t>
      </w:r>
    </w:p>
    <w:p>
      <w:pPr>
        <w:pStyle w:val="ListParagraph"/>
        <w:numPr>
          <w:ilvl w:val="0"/>
          <w:numId w:val="2"/>
        </w:numPr>
        <w:spacing w:after="60"/>
      </w:pPr>
      <w:r>
        <w:rPr>
          <w:color w:val="222222"/>
          <w:sz w:val="21"/>
          <w:szCs w:val="21"/>
        </w:rPr>
        <w:t xml:space="preserve">Correctness: every formula function is validated against known reference values (e.g. Excel XIRR, published Sharpe-ratio examples) before being wired to the API.</w:t>
      </w:r>
    </w:p>
    <w:p>
      <w:pPr>
        <w:pStyle w:val="ListParagraph"/>
        <w:numPr>
          <w:ilvl w:val="0"/>
          <w:numId w:val="2"/>
        </w:numPr>
        <w:spacing w:after="60"/>
      </w:pPr>
      <w:r>
        <w:rPr>
          <w:color w:val="222222"/>
          <w:sz w:val="21"/>
          <w:szCs w:val="21"/>
        </w:rPr>
        <w:t xml:space="preserve">Auditability: every rebalance suggestion is logged as an immutable RebalanceEvent for later review.</w:t>
      </w:r>
    </w:p>
    <w:p>
      <w:pPr>
        <w:pStyle w:val="Heading1"/>
        <w:pBdr>
          <w:bottom w:val="single" w:color="2E5395" w:sz="6" w:space="4"/>
        </w:pBdr>
        <w:spacing w:after="200" w:before="400"/>
      </w:pPr>
      <w:r>
        <w:rPr>
          <w:b/>
          <w:bCs/>
          <w:color w:val="1F3864"/>
          <w:sz w:val="30"/>
          <w:szCs w:val="30"/>
        </w:rPr>
        <w:t xml:space="preserve">9.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26"/>
      </w:tblGrid>
      <w:tr>
        <w:trPr>
          <w:tblHeader/>
        </w:trPr>
        <w:tc>
          <w:tcPr>
            <w:tcW w:type="dxa" w:w="1600"/>
            <w:tcBorders>
              <w:top w:val="single" w:color="B7C2D0" w:sz="4"/>
              <w:left w:val="single" w:color="B7C2D0" w:sz="4"/>
              <w:bottom w:val="single" w:color="B7C2D0" w:sz="4"/>
              <w:right w:val="single" w:color="B7C2D0" w:sz="4"/>
            </w:tcBorders>
            <w:shd w:fill="1F3864" w:color="auto" w:val="clear"/>
            <w:tcMar>
              <w:top w:type="dxa" w:w="100"/>
              <w:left w:type="dxa" w:w="120"/>
              <w:bottom w:type="dxa" w:w="100"/>
              <w:right w:type="dxa" w:w="120"/>
            </w:tcMar>
            <w:vAlign w:val="center"/>
          </w:tcPr>
          <w:p>
            <w:r>
              <w:rPr>
                <w:b/>
                <w:bCs/>
                <w:color w:val="FFFFFF"/>
                <w:sz w:val="19"/>
                <w:szCs w:val="19"/>
              </w:rPr>
              <w:t xml:space="preserve">Layer</w:t>
            </w:r>
          </w:p>
        </w:tc>
        <w:tc>
          <w:tcPr>
            <w:tcW w:type="dxa" w:w="1600"/>
            <w:tcBorders>
              <w:top w:val="single" w:color="B7C2D0" w:sz="4"/>
              <w:left w:val="single" w:color="B7C2D0" w:sz="4"/>
              <w:bottom w:val="single" w:color="B7C2D0" w:sz="4"/>
              <w:right w:val="single" w:color="B7C2D0" w:sz="4"/>
            </w:tcBorders>
            <w:shd w:fill="1F3864" w:color="auto" w:val="clear"/>
            <w:tcMar>
              <w:top w:type="dxa" w:w="100"/>
              <w:left w:type="dxa" w:w="120"/>
              <w:bottom w:type="dxa" w:w="100"/>
              <w:right w:type="dxa" w:w="120"/>
            </w:tcMar>
            <w:vAlign w:val="center"/>
          </w:tcPr>
          <w:p>
            <w:r>
              <w:rPr>
                <w:b/>
                <w:bCs/>
                <w:color w:val="FFFFFF"/>
                <w:sz w:val="19"/>
                <w:szCs w:val="19"/>
              </w:rPr>
              <w:t xml:space="preserve">Choice</w:t>
            </w:r>
          </w:p>
        </w:tc>
        <w:tc>
          <w:tcPr>
            <w:tcW w:type="dxa" w:w="1600"/>
            <w:tcBorders>
              <w:top w:val="single" w:color="B7C2D0" w:sz="4"/>
              <w:left w:val="single" w:color="B7C2D0" w:sz="4"/>
              <w:bottom w:val="single" w:color="B7C2D0" w:sz="4"/>
              <w:right w:val="single" w:color="B7C2D0" w:sz="4"/>
            </w:tcBorders>
            <w:shd w:fill="1F3864" w:color="auto" w:val="clear"/>
            <w:tcMar>
              <w:top w:type="dxa" w:w="100"/>
              <w:left w:type="dxa" w:w="120"/>
              <w:bottom w:type="dxa" w:w="100"/>
              <w:right w:type="dxa" w:w="120"/>
            </w:tcMar>
            <w:vAlign w:val="center"/>
          </w:tcPr>
          <w:p>
            <w:r>
              <w:rPr>
                <w:b/>
                <w:bCs/>
                <w:color w:val="FFFFFF"/>
                <w:sz w:val="19"/>
                <w:szCs w:val="19"/>
              </w:rPr>
              <w:t xml:space="preserve">Why</w:t>
            </w:r>
          </w:p>
        </w:tc>
      </w:tr>
      <w:tr>
        <w:trPr>
          <w:cantSplit/>
        </w:trPr>
        <w:tc>
          <w:tcPr>
            <w:tcW w:type="dxa" w:w="16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API Framework</w:t>
            </w:r>
          </w:p>
        </w:tc>
        <w:tc>
          <w:tcPr>
            <w:tcW w:type="dxa" w:w="16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FastAPI + Pydantic v2</w:t>
            </w:r>
          </w:p>
        </w:tc>
        <w:tc>
          <w:tcPr>
            <w:tcW w:type="dxa" w:w="16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Async I/O, automatic OpenAPI docs, strict schema validation on financial inputs</w:t>
            </w:r>
          </w:p>
        </w:tc>
      </w:tr>
      <w:tr>
        <w:trPr>
          <w:cantSplit/>
        </w:trPr>
        <w:tc>
          <w:tcPr>
            <w:tcW w:type="dxa" w:w="16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Numerical Core</w:t>
            </w:r>
          </w:p>
        </w:tc>
        <w:tc>
          <w:tcPr>
            <w:tcW w:type="dxa" w:w="16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NumPy + SciPy (scipy.optimize)</w:t>
            </w:r>
          </w:p>
        </w:tc>
        <w:tc>
          <w:tcPr>
            <w:tcW w:type="dxa" w:w="16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Matrix algebra for covariance/variance; SLSQP solver for mean-variance optimization</w:t>
            </w:r>
          </w:p>
        </w:tc>
      </w:tr>
      <w:tr>
        <w:trPr>
          <w:cantSplit/>
        </w:trPr>
        <w:tc>
          <w:tcPr>
            <w:tcW w:type="dxa" w:w="16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Database</w:t>
            </w:r>
          </w:p>
        </w:tc>
        <w:tc>
          <w:tcPr>
            <w:tcW w:type="dxa" w:w="16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PostgreSQL (append-only price_history + transactions tables)</w:t>
            </w:r>
          </w:p>
        </w:tc>
        <w:tc>
          <w:tcPr>
            <w:tcW w:type="dxa" w:w="16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Strong consistency for financial ledgers; window functions for rolling metrics</w:t>
            </w:r>
          </w:p>
        </w:tc>
      </w:tr>
      <w:tr>
        <w:trPr>
          <w:cantSplit/>
        </w:trPr>
        <w:tc>
          <w:tcPr>
            <w:tcW w:type="dxa" w:w="16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Cache</w:t>
            </w:r>
          </w:p>
        </w:tc>
        <w:tc>
          <w:tcPr>
            <w:tcW w:type="dxa" w:w="16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Redis</w:t>
            </w:r>
          </w:p>
        </w:tc>
        <w:tc>
          <w:tcPr>
            <w:tcW w:type="dxa" w:w="16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Cache computed covariance matrices per portfolio between price updates</w:t>
            </w:r>
          </w:p>
        </w:tc>
      </w:tr>
      <w:tr>
        <w:trPr>
          <w:cantSplit/>
        </w:trPr>
        <w:tc>
          <w:tcPr>
            <w:tcW w:type="dxa" w:w="16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Frontend</w:t>
            </w:r>
          </w:p>
        </w:tc>
        <w:tc>
          <w:tcPr>
            <w:tcW w:type="dxa" w:w="16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React 18 + TypeScript</w:t>
            </w:r>
          </w:p>
        </w:tc>
        <w:tc>
          <w:tcPr>
            <w:tcW w:type="dxa" w:w="16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Type-safe formula inputs/outputs shared via generated OpenAPI client</w:t>
            </w:r>
          </w:p>
        </w:tc>
      </w:tr>
      <w:tr>
        <w:trPr>
          <w:cantSplit/>
        </w:trPr>
        <w:tc>
          <w:tcPr>
            <w:tcW w:type="dxa" w:w="16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Charts</w:t>
            </w:r>
          </w:p>
        </w:tc>
        <w:tc>
          <w:tcPr>
            <w:tcW w:type="dxa" w:w="16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Recharts / D3</w:t>
            </w:r>
          </w:p>
        </w:tc>
        <w:tc>
          <w:tcPr>
            <w:tcW w:type="dxa" w:w="16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Efficient frontier curve, drawdown chart, allocation drift bars</w:t>
            </w:r>
          </w:p>
        </w:tc>
      </w:tr>
      <w:tr>
        <w:trPr>
          <w:cantSplit/>
        </w:trPr>
        <w:tc>
          <w:tcPr>
            <w:tcW w:type="dxa" w:w="16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State/Data</w:t>
            </w:r>
          </w:p>
        </w:tc>
        <w:tc>
          <w:tcPr>
            <w:tcW w:type="dxa" w:w="16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TanStack Query</w:t>
            </w:r>
          </w:p>
        </w:tc>
        <w:tc>
          <w:tcPr>
            <w:tcW w:type="dxa" w:w="16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Cache + auto-refetch of metrics on portfolio edits</w:t>
            </w:r>
          </w:p>
        </w:tc>
      </w:tr>
      <w:tr>
        <w:trPr>
          <w:cantSplit/>
        </w:trPr>
        <w:tc>
          <w:tcPr>
            <w:tcW w:type="dxa" w:w="16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Precision</w:t>
            </w:r>
          </w:p>
        </w:tc>
        <w:tc>
          <w:tcPr>
            <w:tcW w:type="dxa" w:w="16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Python Decimal at ledger boundary, float64 inside NumPy for stats</w:t>
            </w:r>
          </w:p>
        </w:tc>
        <w:tc>
          <w:tcPr>
            <w:tcW w:type="dxa" w:w="1600"/>
            <w:tcBorders>
              <w:top w:val="single" w:color="B7C2D0" w:sz="4"/>
              <w:left w:val="single" w:color="B7C2D0" w:sz="4"/>
              <w:bottom w:val="single" w:color="B7C2D0" w:sz="4"/>
              <w:right w:val="single" w:color="B7C2D0" w:sz="4"/>
            </w:tcBorders>
            <w:tcMar>
              <w:top w:type="dxa" w:w="100"/>
              <w:left w:type="dxa" w:w="120"/>
              <w:bottom w:type="dxa" w:w="100"/>
              <w:right w:type="dxa" w:w="120"/>
            </w:tcMar>
            <w:vAlign w:val="center"/>
          </w:tcPr>
          <w:p>
            <w:r>
              <w:rPr>
                <w:b w:val="false"/>
                <w:bCs w:val="false"/>
                <w:color w:val="222222"/>
                <w:sz w:val="19"/>
                <w:szCs w:val="19"/>
              </w:rPr>
              <w:t xml:space="preserve">Avoids float rounding in money math; float is fine for statistical computation</w:t>
            </w:r>
          </w:p>
        </w:tc>
      </w:tr>
    </w:tbl>
    <w:p>
      <w:pPr>
        <w:spacing w:after="200"/>
      </w:pPr>
    </w:p>
    <w:p>
      <w:pPr>
        <w:pStyle w:val="Heading1"/>
        <w:pBdr>
          <w:bottom w:val="single" w:color="2E5395" w:sz="6" w:space="4"/>
        </w:pBdr>
        <w:spacing w:after="200" w:before="400"/>
      </w:pPr>
      <w:r>
        <w:rPr>
          <w:b/>
          <w:bCs/>
          <w:color w:val="1F3864"/>
          <w:sz w:val="30"/>
          <w:szCs w:val="30"/>
        </w:rPr>
        <w:t xml:space="preserve">10. Testing Strategy</w:t>
      </w:r>
    </w:p>
    <w:p>
      <w:pPr>
        <w:pStyle w:val="ListParagraph"/>
        <w:numPr>
          <w:ilvl w:val="0"/>
          <w:numId w:val="3"/>
        </w:numPr>
        <w:spacing w:after="60"/>
      </w:pPr>
      <w:r>
        <w:rPr>
          <w:color w:val="222222"/>
          <w:sz w:val="21"/>
          <w:szCs w:val="21"/>
        </w:rPr>
        <w:t xml:space="preserve">Unit tests per formula: each function in Section 5 gets a table of hand-verified inputs/outputs (cross-checked against Excel/Google Sheets equivalents such as XIRR, STDEV, COVAR).</w:t>
      </w:r>
    </w:p>
    <w:p>
      <w:pPr>
        <w:pStyle w:val="ListParagraph"/>
        <w:numPr>
          <w:ilvl w:val="0"/>
          <w:numId w:val="3"/>
        </w:numPr>
        <w:spacing w:after="60"/>
      </w:pPr>
      <w:r>
        <w:rPr>
          <w:color w:val="222222"/>
          <w:sz w:val="21"/>
          <w:szCs w:val="21"/>
        </w:rPr>
        <w:t xml:space="preserve">Property-based tests: portfolio weights always sum to 1; variance is always ≥ 0; VaR at 99% confidence is always ≥ VaR at 95%.</w:t>
      </w:r>
    </w:p>
    <w:p>
      <w:pPr>
        <w:pStyle w:val="ListParagraph"/>
        <w:numPr>
          <w:ilvl w:val="0"/>
          <w:numId w:val="3"/>
        </w:numPr>
        <w:spacing w:after="60"/>
      </w:pPr>
      <w:r>
        <w:rPr>
          <w:color w:val="222222"/>
          <w:sz w:val="21"/>
          <w:szCs w:val="21"/>
        </w:rPr>
        <w:t xml:space="preserve">Integration tests: end-to-end — create portfolio → ingest prices → call /metrics → assert against a pre-computed reference portfolio.</w:t>
      </w:r>
    </w:p>
    <w:p>
      <w:pPr>
        <w:pStyle w:val="ListParagraph"/>
        <w:numPr>
          <w:ilvl w:val="0"/>
          <w:numId w:val="3"/>
        </w:numPr>
        <w:spacing w:after="60"/>
      </w:pPr>
      <w:r>
        <w:rPr>
          <w:color w:val="222222"/>
          <w:sz w:val="21"/>
          <w:szCs w:val="21"/>
        </w:rPr>
        <w:t xml:space="preserve">Optimizer tests: verify the efficient frontier is monotonic (risk never decreases as target return decreases along the frontier) and that the minimum-variance point matches a closed-form 2-asset check.</w:t>
      </w:r>
    </w:p>
    <w:p>
      <w:pPr>
        <w:pStyle w:val="Heading1"/>
        <w:pBdr>
          <w:bottom w:val="single" w:color="2E5395" w:sz="6" w:space="4"/>
        </w:pBdr>
        <w:spacing w:after="200" w:before="400"/>
      </w:pPr>
      <w:r>
        <w:rPr>
          <w:b/>
          <w:bCs/>
          <w:color w:val="1F3864"/>
          <w:sz w:val="30"/>
          <w:szCs w:val="30"/>
        </w:rPr>
        <w:t xml:space="preserve">11. Rollout Plan</w:t>
      </w:r>
    </w:p>
    <w:p>
      <w:pPr>
        <w:pStyle w:val="ListParagraph"/>
        <w:numPr>
          <w:ilvl w:val="0"/>
          <w:numId w:val="4"/>
        </w:numPr>
        <w:spacing w:after="60"/>
      </w:pPr>
      <w:r>
        <w:rPr>
          <w:color w:val="222222"/>
          <w:sz w:val="21"/>
          <w:szCs w:val="21"/>
        </w:rPr>
        <w:t xml:space="preserve">Phase 1 — Formula engine + core API: holdings CRUD, price ingestion, expected return, variance, Sharpe/Sortino/Treynor/Alpha, Beta.</w:t>
      </w:r>
    </w:p>
    <w:p>
      <w:pPr>
        <w:pStyle w:val="ListParagraph"/>
        <w:numPr>
          <w:ilvl w:val="0"/>
          <w:numId w:val="4"/>
        </w:numPr>
        <w:spacing w:after="60"/>
      </w:pPr>
      <w:r>
        <w:rPr>
          <w:color w:val="222222"/>
          <w:sz w:val="21"/>
          <w:szCs w:val="21"/>
        </w:rPr>
        <w:t xml:space="preserve">Phase 2 — Risk metrics: VaR, CVaR, Max Drawdown, CAGR, XIRR.</w:t>
      </w:r>
    </w:p>
    <w:p>
      <w:pPr>
        <w:pStyle w:val="ListParagraph"/>
        <w:numPr>
          <w:ilvl w:val="0"/>
          <w:numId w:val="4"/>
        </w:numPr>
        <w:spacing w:after="60"/>
      </w:pPr>
      <w:r>
        <w:rPr>
          <w:color w:val="222222"/>
          <w:sz w:val="21"/>
          <w:szCs w:val="21"/>
        </w:rPr>
        <w:t xml:space="preserve">Phase 3 — Rebalancing engine: drift detection, trigger logic, trade sizing, RebalanceEvent logging.</w:t>
      </w:r>
    </w:p>
    <w:p>
      <w:pPr>
        <w:pStyle w:val="ListParagraph"/>
        <w:numPr>
          <w:ilvl w:val="0"/>
          <w:numId w:val="4"/>
        </w:numPr>
        <w:spacing w:after="60"/>
      </w:pPr>
      <w:r>
        <w:rPr>
          <w:color w:val="222222"/>
          <w:sz w:val="21"/>
          <w:szCs w:val="21"/>
        </w:rPr>
        <w:t xml:space="preserve">Phase 4 — Optimizer: Markowitz mean-variance optimization and efficient-frontier endpoint.</w:t>
      </w:r>
    </w:p>
    <w:p>
      <w:pPr>
        <w:pStyle w:val="ListParagraph"/>
        <w:numPr>
          <w:ilvl w:val="0"/>
          <w:numId w:val="4"/>
        </w:numPr>
        <w:spacing w:after="60"/>
      </w:pPr>
      <w:r>
        <w:rPr>
          <w:color w:val="222222"/>
          <w:sz w:val="21"/>
          <w:szCs w:val="21"/>
        </w:rPr>
        <w:t xml:space="preserve">Phase 5 — Frontend dashboard: live sliders, charts, scenario simulation, polish.</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2D0" w:sz="4" w:space="4"/>
      </w:pBdr>
      <w:tabs>
        <w:tab w:val="right" w:pos="9026"/>
      </w:tabs>
    </w:pPr>
    <w:r>
      <w:rPr>
        <w:color w:val="6B7280"/>
        <w:sz w:val="16"/>
        <w:szCs w:val="16"/>
      </w:rPr>
      <w:t xml:space="preserve">Portfolio Risk &amp; Rebalancing Dashboard — SDD</w:t>
    </w:r>
    <w:r>
      <w:rPr>
        <w:color w:val="6B7280"/>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2026-08-24T17:14:00.219Z</dcterms:created>
  <dcterms:modified xsi:type="dcterms:W3CDTF">2026-08-24T17:14:00.219Z</dcterms:modified>
</cp:coreProperties>
</file>

<file path=docProps/custom.xml><?xml version="1.0" encoding="utf-8"?>
<Properties xmlns="http://schemas.openxmlformats.org/officeDocument/2006/custom-properties" xmlns:vt="http://schemas.openxmlformats.org/officeDocument/2006/docPropsVTypes"/>
</file>