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E4E104" w14:textId="77777777" w:rsidR="001064B0" w:rsidRDefault="001064B0">
      <w:pPr>
        <w:spacing w:before="1600"/>
      </w:pPr>
    </w:p>
    <w:p w14:paraId="1B99317E" w14:textId="77777777" w:rsidR="001064B0" w:rsidRDefault="00956297">
      <w:pPr>
        <w:jc w:val="center"/>
      </w:pPr>
      <w:r>
        <w:rPr>
          <w:b/>
          <w:bCs/>
          <w:color w:val="1F3864"/>
          <w:sz w:val="56"/>
          <w:szCs w:val="56"/>
        </w:rPr>
        <w:t>COVID-19 Patient Data</w:t>
      </w:r>
    </w:p>
    <w:p w14:paraId="5F0C7CD9" w14:textId="77777777" w:rsidR="001064B0" w:rsidRDefault="00956297">
      <w:pPr>
        <w:spacing w:after="300"/>
        <w:jc w:val="center"/>
      </w:pPr>
      <w:r>
        <w:rPr>
          <w:b/>
          <w:bCs/>
          <w:color w:val="2E74B5"/>
          <w:sz w:val="40"/>
          <w:szCs w:val="40"/>
        </w:rPr>
        <w:t>Exploratory Data Analysis Report</w:t>
      </w:r>
    </w:p>
    <w:p w14:paraId="7D1E7502" w14:textId="77777777" w:rsidR="001064B0" w:rsidRDefault="00956297">
      <w:pPr>
        <w:spacing w:before="200" w:after="100"/>
        <w:jc w:val="center"/>
      </w:pPr>
      <w:r>
        <w:rPr>
          <w:i/>
          <w:iCs/>
          <w:color w:val="595959"/>
          <w:sz w:val="24"/>
          <w:szCs w:val="24"/>
        </w:rPr>
        <w:t>Understanding Patient Demographics, Comorbidities, and Mortality Patterns</w:t>
      </w:r>
    </w:p>
    <w:p w14:paraId="4E02ECF1" w14:textId="77777777" w:rsidR="001064B0" w:rsidRDefault="00956297">
      <w:r>
        <w:br w:type="page"/>
      </w:r>
    </w:p>
    <w:p w14:paraId="6148B230" w14:textId="77777777" w:rsidR="001064B0" w:rsidRDefault="00956297">
      <w:pPr>
        <w:pStyle w:val="Heading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1. Project Objective</w:t>
      </w:r>
    </w:p>
    <w:p w14:paraId="3CE8D712" w14:textId="77777777" w:rsidR="001064B0" w:rsidRDefault="00956297">
      <w:pPr>
        <w:spacing w:after="160" w:line="300" w:lineRule="auto"/>
      </w:pPr>
      <w:r>
        <w:rPr>
          <w:color w:val="262626"/>
          <w:sz w:val="22"/>
          <w:szCs w:val="22"/>
        </w:rPr>
        <w:t xml:space="preserve">This project analyzes a COVID-19 patient dataset to understand the factors affecting patient outcomes, particularly mortality. The dataset includes demographic details, pre-existing medical conditions (comorbidities), and treatment-related attributes such </w:t>
      </w:r>
      <w:r>
        <w:rPr>
          <w:color w:val="262626"/>
          <w:sz w:val="22"/>
          <w:szCs w:val="22"/>
        </w:rPr>
        <w:t>as hospitalization type and ICU admission.</w:t>
      </w:r>
    </w:p>
    <w:p w14:paraId="4B8F9C23" w14:textId="77777777" w:rsidR="001064B0" w:rsidRDefault="00956297">
      <w:pPr>
        <w:spacing w:after="160" w:line="300" w:lineRule="auto"/>
      </w:pPr>
      <w:r>
        <w:rPr>
          <w:color w:val="262626"/>
          <w:sz w:val="22"/>
          <w:szCs w:val="22"/>
        </w:rPr>
        <w:t>Data cleaning and feature engineering were performed first, followed by exploratory data analysis (EDA) across four stages: univariate, bivariate, multivariate, and time-series analysis. The goal was to identify r</w:t>
      </w:r>
      <w:r>
        <w:rPr>
          <w:color w:val="262626"/>
          <w:sz w:val="22"/>
          <w:szCs w:val="22"/>
        </w:rPr>
        <w:t>elationships between age, comorbidities, ICU admission, and death outcomes, and to understand how COVID-19 mortality trends changed over time.</w:t>
      </w:r>
    </w:p>
    <w:p w14:paraId="5F65D94F" w14:textId="77777777" w:rsidR="001064B0" w:rsidRDefault="00956297">
      <w:pPr>
        <w:pStyle w:val="Heading2"/>
        <w:spacing w:before="280" w:after="120"/>
      </w:pPr>
      <w:r>
        <w:rPr>
          <w:b/>
          <w:bCs/>
          <w:sz w:val="24"/>
          <w:szCs w:val="24"/>
        </w:rPr>
        <w:t>Analysis Structure</w:t>
      </w:r>
    </w:p>
    <w:p w14:paraId="614E896F" w14:textId="77777777" w:rsidR="001064B0" w:rsidRDefault="00956297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62626"/>
          <w:sz w:val="21"/>
          <w:szCs w:val="21"/>
        </w:rPr>
        <w:t>Univariate Analysis — individual distribution of key patient attributes</w:t>
      </w:r>
    </w:p>
    <w:p w14:paraId="1CFB4A15" w14:textId="77777777" w:rsidR="001064B0" w:rsidRDefault="00956297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62626"/>
          <w:sz w:val="21"/>
          <w:szCs w:val="21"/>
        </w:rPr>
        <w:t>Bivariate Analysis — r</w:t>
      </w:r>
      <w:r>
        <w:rPr>
          <w:color w:val="262626"/>
          <w:sz w:val="21"/>
          <w:szCs w:val="21"/>
        </w:rPr>
        <w:t>elationship between comorbidities/attributes and death outcome</w:t>
      </w:r>
    </w:p>
    <w:p w14:paraId="6F55CA8A" w14:textId="77777777" w:rsidR="001064B0" w:rsidRDefault="00956297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62626"/>
          <w:sz w:val="21"/>
          <w:szCs w:val="21"/>
        </w:rPr>
        <w:t>Multivariate Analysis — combined effect of multiple factors on mortality</w:t>
      </w:r>
    </w:p>
    <w:p w14:paraId="4947F1D7" w14:textId="77777777" w:rsidR="001064B0" w:rsidRDefault="00956297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62626"/>
          <w:sz w:val="21"/>
          <w:szCs w:val="21"/>
        </w:rPr>
        <w:t>Time-Series Analysis — how death counts trended across months and years</w:t>
      </w:r>
    </w:p>
    <w:p w14:paraId="6815998C" w14:textId="77777777" w:rsidR="001064B0" w:rsidRDefault="00956297">
      <w:pPr>
        <w:pStyle w:val="Heading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2. Dataset Overview</w:t>
      </w:r>
    </w:p>
    <w:p w14:paraId="1FB084E6" w14:textId="77777777" w:rsidR="001064B0" w:rsidRDefault="00956297">
      <w:pPr>
        <w:spacing w:after="160" w:line="300" w:lineRule="auto"/>
      </w:pPr>
      <w:r>
        <w:rPr>
          <w:color w:val="262626"/>
          <w:sz w:val="22"/>
          <w:szCs w:val="22"/>
        </w:rPr>
        <w:t>The raw dataset contains pat</w:t>
      </w:r>
      <w:r>
        <w:rPr>
          <w:color w:val="262626"/>
          <w:sz w:val="22"/>
          <w:szCs w:val="22"/>
        </w:rPr>
        <w:t>ient-level records with demographic, clinical, and outcome fields. Key preprocessing steps performed before analysis:</w:t>
      </w:r>
    </w:p>
    <w:p w14:paraId="51E73AC1" w14:textId="77777777" w:rsidR="001064B0" w:rsidRDefault="00956297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62626"/>
          <w:sz w:val="21"/>
          <w:szCs w:val="21"/>
        </w:rPr>
        <w:t>Encoded placeholder values (97, 98, 99) in Yes/No health columns were converted to "Unknown" to correctly represent missing/not-applicable</w:t>
      </w:r>
      <w:r>
        <w:rPr>
          <w:color w:val="262626"/>
          <w:sz w:val="21"/>
          <w:szCs w:val="21"/>
        </w:rPr>
        <w:t xml:space="preserve"> data.</w:t>
      </w:r>
    </w:p>
    <w:p w14:paraId="2EC5D7BB" w14:textId="77777777" w:rsidR="001064B0" w:rsidRDefault="00956297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62626"/>
          <w:sz w:val="21"/>
          <w:szCs w:val="21"/>
        </w:rPr>
        <w:t>SEX and PATIENT_TYPE codes were mapped to readable labels (Female/Male, returned home/hospitalization).</w:t>
      </w:r>
    </w:p>
    <w:p w14:paraId="76F1DDB3" w14:textId="77777777" w:rsidR="001064B0" w:rsidRDefault="00956297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62626"/>
          <w:sz w:val="21"/>
          <w:szCs w:val="21"/>
        </w:rPr>
        <w:t xml:space="preserve">A </w:t>
      </w:r>
      <w:proofErr w:type="spellStart"/>
      <w:r>
        <w:rPr>
          <w:color w:val="262626"/>
          <w:sz w:val="21"/>
          <w:szCs w:val="21"/>
        </w:rPr>
        <w:t>death_status</w:t>
      </w:r>
      <w:proofErr w:type="spellEnd"/>
      <w:r>
        <w:rPr>
          <w:color w:val="262626"/>
          <w:sz w:val="21"/>
          <w:szCs w:val="21"/>
        </w:rPr>
        <w:t xml:space="preserve"> column was derived from DATE_DIED (Survived vs Died), along with </w:t>
      </w:r>
      <w:proofErr w:type="spellStart"/>
      <w:r>
        <w:rPr>
          <w:color w:val="262626"/>
          <w:sz w:val="21"/>
          <w:szCs w:val="21"/>
        </w:rPr>
        <w:t>death_year</w:t>
      </w:r>
      <w:proofErr w:type="spellEnd"/>
      <w:r>
        <w:rPr>
          <w:color w:val="262626"/>
          <w:sz w:val="21"/>
          <w:szCs w:val="21"/>
        </w:rPr>
        <w:t xml:space="preserve">, </w:t>
      </w:r>
      <w:proofErr w:type="spellStart"/>
      <w:r>
        <w:rPr>
          <w:color w:val="262626"/>
          <w:sz w:val="21"/>
          <w:szCs w:val="21"/>
        </w:rPr>
        <w:t>death_month</w:t>
      </w:r>
      <w:proofErr w:type="spellEnd"/>
      <w:r>
        <w:rPr>
          <w:color w:val="262626"/>
          <w:sz w:val="21"/>
          <w:szCs w:val="21"/>
        </w:rPr>
        <w:t xml:space="preserve">, and </w:t>
      </w:r>
      <w:proofErr w:type="spellStart"/>
      <w:r>
        <w:rPr>
          <w:color w:val="262626"/>
          <w:sz w:val="21"/>
          <w:szCs w:val="21"/>
        </w:rPr>
        <w:t>death_month_year</w:t>
      </w:r>
      <w:proofErr w:type="spellEnd"/>
      <w:r>
        <w:rPr>
          <w:color w:val="262626"/>
          <w:sz w:val="21"/>
          <w:szCs w:val="21"/>
        </w:rPr>
        <w:t xml:space="preserve"> for time-series ana</w:t>
      </w:r>
      <w:r>
        <w:rPr>
          <w:color w:val="262626"/>
          <w:sz w:val="21"/>
          <w:szCs w:val="21"/>
        </w:rPr>
        <w:t>lysis.</w:t>
      </w:r>
    </w:p>
    <w:p w14:paraId="37D301C8" w14:textId="77777777" w:rsidR="001064B0" w:rsidRDefault="00956297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62626"/>
          <w:sz w:val="21"/>
          <w:szCs w:val="21"/>
        </w:rPr>
        <w:t xml:space="preserve">New engineered features were added: </w:t>
      </w:r>
      <w:proofErr w:type="spellStart"/>
      <w:r>
        <w:rPr>
          <w:color w:val="262626"/>
          <w:sz w:val="21"/>
          <w:szCs w:val="21"/>
        </w:rPr>
        <w:t>COVID_Status</w:t>
      </w:r>
      <w:proofErr w:type="spellEnd"/>
      <w:r>
        <w:rPr>
          <w:color w:val="262626"/>
          <w:sz w:val="21"/>
          <w:szCs w:val="21"/>
        </w:rPr>
        <w:t xml:space="preserve"> (test classification), </w:t>
      </w:r>
      <w:proofErr w:type="spellStart"/>
      <w:r>
        <w:rPr>
          <w:color w:val="262626"/>
          <w:sz w:val="21"/>
          <w:szCs w:val="21"/>
        </w:rPr>
        <w:t>medical_unit_type</w:t>
      </w:r>
      <w:proofErr w:type="spellEnd"/>
      <w:r>
        <w:rPr>
          <w:color w:val="262626"/>
          <w:sz w:val="21"/>
          <w:szCs w:val="21"/>
        </w:rPr>
        <w:t xml:space="preserve">, </w:t>
      </w:r>
      <w:proofErr w:type="spellStart"/>
      <w:r>
        <w:rPr>
          <w:color w:val="262626"/>
          <w:sz w:val="21"/>
          <w:szCs w:val="21"/>
        </w:rPr>
        <w:t>age_group</w:t>
      </w:r>
      <w:proofErr w:type="spellEnd"/>
      <w:r>
        <w:rPr>
          <w:color w:val="262626"/>
          <w:sz w:val="21"/>
          <w:szCs w:val="21"/>
        </w:rPr>
        <w:t xml:space="preserve"> (Child/Teen/Adult/Mid-age/Senior), severity (Critical if ICU or Intubated = Yes), and </w:t>
      </w:r>
      <w:proofErr w:type="spellStart"/>
      <w:r>
        <w:rPr>
          <w:color w:val="262626"/>
          <w:sz w:val="21"/>
          <w:szCs w:val="21"/>
        </w:rPr>
        <w:t>total_diseases</w:t>
      </w:r>
      <w:proofErr w:type="spellEnd"/>
      <w:r>
        <w:rPr>
          <w:color w:val="262626"/>
          <w:sz w:val="21"/>
          <w:szCs w:val="21"/>
        </w:rPr>
        <w:t xml:space="preserve"> (comorbidity count per patient).</w:t>
      </w:r>
    </w:p>
    <w:p w14:paraId="34F822E9" w14:textId="77777777" w:rsidR="001064B0" w:rsidRDefault="00956297">
      <w:pPr>
        <w:pStyle w:val="Heading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3. Univariate Analysi</w:t>
      </w:r>
      <w:r>
        <w:rPr>
          <w:b/>
          <w:bCs/>
          <w:color w:val="1F3864"/>
          <w:sz w:val="30"/>
          <w:szCs w:val="30"/>
        </w:rPr>
        <w:t>s</w:t>
      </w:r>
    </w:p>
    <w:p w14:paraId="2E600289" w14:textId="77777777" w:rsidR="001064B0" w:rsidRDefault="00956297">
      <w:pPr>
        <w:spacing w:after="160" w:line="300" w:lineRule="auto"/>
      </w:pPr>
      <w:r>
        <w:rPr>
          <w:color w:val="262626"/>
          <w:sz w:val="22"/>
          <w:szCs w:val="22"/>
        </w:rPr>
        <w:t>Individual distributions of key attributes were examined to understand the overall composition of the patient population.</w:t>
      </w:r>
    </w:p>
    <w:p w14:paraId="344E1CF5" w14:textId="77777777" w:rsidR="001064B0" w:rsidRDefault="00956297">
      <w:pPr>
        <w:pStyle w:val="Heading2"/>
        <w:spacing w:before="280" w:after="120"/>
      </w:pPr>
      <w:r>
        <w:rPr>
          <w:b/>
          <w:bCs/>
          <w:sz w:val="24"/>
          <w:szCs w:val="24"/>
        </w:rPr>
        <w:t>3.1 Age Distribution</w:t>
      </w:r>
    </w:p>
    <w:p w14:paraId="33B9BF04" w14:textId="77777777" w:rsidR="001064B0" w:rsidRDefault="00956297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2A5B50E2" wp14:editId="0C3AA4E1">
            <wp:extent cx="5943600" cy="236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D863" w14:textId="77777777" w:rsidR="001064B0" w:rsidRDefault="00956297">
      <w:pPr>
        <w:spacing w:before="80" w:after="260"/>
        <w:jc w:val="center"/>
      </w:pPr>
      <w:r>
        <w:rPr>
          <w:i/>
          <w:iCs/>
          <w:color w:val="595959"/>
          <w:sz w:val="19"/>
          <w:szCs w:val="19"/>
        </w:rPr>
        <w:t>Figure 1: Age distribution and boxplot — patient ages are broadly spread with a concentration between ~30 and</w:t>
      </w:r>
      <w:r>
        <w:rPr>
          <w:i/>
          <w:iCs/>
          <w:color w:val="595959"/>
          <w:sz w:val="19"/>
          <w:szCs w:val="19"/>
        </w:rPr>
        <w:t xml:space="preserve"> 60 years.</w:t>
      </w:r>
    </w:p>
    <w:p w14:paraId="2E37494C" w14:textId="77777777" w:rsidR="001064B0" w:rsidRDefault="00956297">
      <w:pPr>
        <w:pStyle w:val="Heading2"/>
        <w:spacing w:before="280" w:after="120"/>
      </w:pPr>
      <w:r>
        <w:rPr>
          <w:b/>
          <w:bCs/>
          <w:sz w:val="24"/>
          <w:szCs w:val="24"/>
        </w:rPr>
        <w:t>3.2 Gender Distribution</w:t>
      </w:r>
    </w:p>
    <w:p w14:paraId="1A03C1DA" w14:textId="77777777" w:rsidR="001064B0" w:rsidRDefault="00956297">
      <w:pPr>
        <w:spacing w:before="160" w:after="40"/>
        <w:jc w:val="center"/>
      </w:pPr>
      <w:r>
        <w:rPr>
          <w:noProof/>
        </w:rPr>
        <w:drawing>
          <wp:inline distT="0" distB="0" distL="0" distR="0" wp14:anchorId="40D3F6BF" wp14:editId="1EADE145">
            <wp:extent cx="5943600" cy="2600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887C" w14:textId="77777777" w:rsidR="001064B0" w:rsidRDefault="00956297">
      <w:pPr>
        <w:spacing w:before="80" w:after="260"/>
        <w:jc w:val="center"/>
      </w:pPr>
      <w:r>
        <w:rPr>
          <w:i/>
          <w:iCs/>
          <w:color w:val="595959"/>
          <w:sz w:val="19"/>
          <w:szCs w:val="19"/>
        </w:rPr>
        <w:t>Figure 2: Gender distribution is nearly balanced between male and female patients.</w:t>
      </w:r>
    </w:p>
    <w:p w14:paraId="112D2C2B" w14:textId="77777777" w:rsidR="002A7E8E" w:rsidRDefault="002A7E8E">
      <w:pPr>
        <w:pStyle w:val="Heading2"/>
        <w:spacing w:before="280" w:after="120"/>
        <w:rPr>
          <w:b/>
          <w:bCs/>
          <w:sz w:val="24"/>
          <w:szCs w:val="24"/>
        </w:rPr>
      </w:pPr>
    </w:p>
    <w:p w14:paraId="7436F994" w14:textId="77777777" w:rsidR="002A7E8E" w:rsidRDefault="002A7E8E">
      <w:pPr>
        <w:pStyle w:val="Heading2"/>
        <w:spacing w:before="280" w:after="120"/>
        <w:rPr>
          <w:b/>
          <w:bCs/>
          <w:sz w:val="24"/>
          <w:szCs w:val="24"/>
        </w:rPr>
      </w:pPr>
    </w:p>
    <w:p w14:paraId="473948CB" w14:textId="77777777" w:rsidR="002A7E8E" w:rsidRDefault="002A7E8E">
      <w:pPr>
        <w:pStyle w:val="Heading2"/>
        <w:spacing w:before="280" w:after="120"/>
        <w:rPr>
          <w:b/>
          <w:bCs/>
          <w:sz w:val="24"/>
          <w:szCs w:val="24"/>
        </w:rPr>
      </w:pPr>
    </w:p>
    <w:p w14:paraId="57150450" w14:textId="77777777" w:rsidR="002A7E8E" w:rsidRDefault="002A7E8E">
      <w:pPr>
        <w:pStyle w:val="Heading2"/>
        <w:spacing w:before="280" w:after="120"/>
        <w:rPr>
          <w:b/>
          <w:bCs/>
          <w:sz w:val="24"/>
          <w:szCs w:val="24"/>
        </w:rPr>
      </w:pPr>
    </w:p>
    <w:p w14:paraId="06782309" w14:textId="77777777" w:rsidR="002A7E8E" w:rsidRDefault="002A7E8E">
      <w:pPr>
        <w:pStyle w:val="Heading2"/>
        <w:spacing w:before="280" w:after="120"/>
        <w:rPr>
          <w:b/>
          <w:bCs/>
          <w:sz w:val="24"/>
          <w:szCs w:val="24"/>
        </w:rPr>
      </w:pPr>
    </w:p>
    <w:p w14:paraId="6A07F31B" w14:textId="77777777" w:rsidR="002A7E8E" w:rsidRDefault="002A7E8E">
      <w:pPr>
        <w:pStyle w:val="Heading2"/>
        <w:spacing w:before="280" w:after="120"/>
        <w:rPr>
          <w:b/>
          <w:bCs/>
          <w:sz w:val="24"/>
          <w:szCs w:val="24"/>
        </w:rPr>
      </w:pPr>
    </w:p>
    <w:p w14:paraId="614A072D" w14:textId="77777777" w:rsidR="002A7E8E" w:rsidRDefault="002A7E8E">
      <w:pPr>
        <w:pStyle w:val="Heading2"/>
        <w:spacing w:before="280" w:after="120"/>
        <w:rPr>
          <w:b/>
          <w:bCs/>
          <w:sz w:val="24"/>
          <w:szCs w:val="24"/>
        </w:rPr>
      </w:pPr>
    </w:p>
    <w:p w14:paraId="69F0D10A" w14:textId="4E064320" w:rsidR="001064B0" w:rsidRDefault="00956297">
      <w:pPr>
        <w:pStyle w:val="Heading2"/>
        <w:spacing w:before="280" w:after="120"/>
      </w:pPr>
      <w:r>
        <w:rPr>
          <w:b/>
          <w:bCs/>
          <w:sz w:val="24"/>
          <w:szCs w:val="24"/>
        </w:rPr>
        <w:lastRenderedPageBreak/>
        <w:t>3.3 Patient Type (Hospitalization Status)</w:t>
      </w:r>
    </w:p>
    <w:p w14:paraId="56905E39" w14:textId="77777777" w:rsidR="001064B0" w:rsidRDefault="00956297">
      <w:pPr>
        <w:spacing w:before="160" w:after="40"/>
        <w:jc w:val="center"/>
      </w:pPr>
      <w:r>
        <w:rPr>
          <w:noProof/>
        </w:rPr>
        <w:drawing>
          <wp:inline distT="0" distB="0" distL="0" distR="0" wp14:anchorId="0FA7CC6A" wp14:editId="3359C8C3">
            <wp:extent cx="5943600" cy="2628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98A1" w14:textId="77777777" w:rsidR="001064B0" w:rsidRDefault="00956297">
      <w:pPr>
        <w:spacing w:before="80" w:after="260"/>
        <w:jc w:val="center"/>
      </w:pPr>
      <w:r>
        <w:rPr>
          <w:i/>
          <w:iCs/>
          <w:color w:val="595959"/>
          <w:sz w:val="19"/>
          <w:szCs w:val="19"/>
        </w:rPr>
        <w:t>Figure 3: Most patients returned home; a smaller share required hospitalization.</w:t>
      </w:r>
    </w:p>
    <w:p w14:paraId="4F9B5638" w14:textId="77777777" w:rsidR="001064B0" w:rsidRDefault="00956297">
      <w:pPr>
        <w:pStyle w:val="Heading2"/>
        <w:spacing w:before="280" w:after="120"/>
      </w:pPr>
      <w:r>
        <w:rPr>
          <w:b/>
          <w:bCs/>
          <w:sz w:val="24"/>
          <w:szCs w:val="24"/>
        </w:rPr>
        <w:t>3.4 Death Status (Target Variable)</w:t>
      </w:r>
    </w:p>
    <w:p w14:paraId="15477465" w14:textId="77777777" w:rsidR="001064B0" w:rsidRDefault="00956297">
      <w:pPr>
        <w:spacing w:before="160" w:after="40"/>
        <w:jc w:val="center"/>
      </w:pPr>
      <w:r>
        <w:rPr>
          <w:noProof/>
        </w:rPr>
        <w:drawing>
          <wp:inline distT="0" distB="0" distL="0" distR="0" wp14:anchorId="1677BAE8" wp14:editId="0A4A1680">
            <wp:extent cx="5943600" cy="2667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F631" w14:textId="77777777" w:rsidR="001064B0" w:rsidRDefault="00956297">
      <w:pPr>
        <w:spacing w:before="80" w:after="260"/>
        <w:jc w:val="center"/>
      </w:pPr>
      <w:r>
        <w:rPr>
          <w:i/>
          <w:iCs/>
          <w:color w:val="595959"/>
          <w:sz w:val="19"/>
          <w:szCs w:val="19"/>
        </w:rPr>
        <w:t>Figure 4: Roughly 7.3% of patients died and 92.7% survived — a highly imbalanced target variable, important context for any later modellin</w:t>
      </w:r>
      <w:r>
        <w:rPr>
          <w:i/>
          <w:iCs/>
          <w:color w:val="595959"/>
          <w:sz w:val="19"/>
          <w:szCs w:val="19"/>
        </w:rPr>
        <w:t>g.</w:t>
      </w:r>
    </w:p>
    <w:p w14:paraId="1719BC26" w14:textId="77777777" w:rsidR="001064B0" w:rsidRDefault="00956297">
      <w:r>
        <w:br w:type="page"/>
      </w:r>
    </w:p>
    <w:p w14:paraId="5153CB81" w14:textId="77777777" w:rsidR="001064B0" w:rsidRDefault="00956297">
      <w:pPr>
        <w:pStyle w:val="Heading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4. Bivariate Analysis</w:t>
      </w:r>
    </w:p>
    <w:p w14:paraId="16B2FB91" w14:textId="77777777" w:rsidR="001064B0" w:rsidRDefault="00956297">
      <w:pPr>
        <w:spacing w:after="160" w:line="300" w:lineRule="auto"/>
      </w:pPr>
      <w:r>
        <w:rPr>
          <w:color w:val="262626"/>
          <w:sz w:val="22"/>
          <w:szCs w:val="22"/>
        </w:rPr>
        <w:t xml:space="preserve">Each attribute was compared against </w:t>
      </w:r>
      <w:proofErr w:type="spellStart"/>
      <w:r>
        <w:rPr>
          <w:color w:val="262626"/>
          <w:sz w:val="22"/>
          <w:szCs w:val="22"/>
        </w:rPr>
        <w:t>death_status</w:t>
      </w:r>
      <w:proofErr w:type="spellEnd"/>
      <w:r>
        <w:rPr>
          <w:color w:val="262626"/>
          <w:sz w:val="22"/>
          <w:szCs w:val="22"/>
        </w:rPr>
        <w:t xml:space="preserve"> to identify which factors are associated with higher mortality.</w:t>
      </w:r>
    </w:p>
    <w:p w14:paraId="6B69AC23" w14:textId="77777777" w:rsidR="001064B0" w:rsidRDefault="00956297">
      <w:pPr>
        <w:pStyle w:val="Heading2"/>
        <w:spacing w:before="280" w:after="120"/>
      </w:pPr>
      <w:r>
        <w:rPr>
          <w:b/>
          <w:bCs/>
          <w:sz w:val="24"/>
          <w:szCs w:val="24"/>
        </w:rPr>
        <w:t>4.1 Comorbidities vs Death Status — Overview</w:t>
      </w:r>
    </w:p>
    <w:p w14:paraId="4FFD98F9" w14:textId="77777777" w:rsidR="001064B0" w:rsidRDefault="00956297">
      <w:pPr>
        <w:spacing w:before="160" w:after="40"/>
        <w:jc w:val="center"/>
      </w:pPr>
      <w:r>
        <w:rPr>
          <w:noProof/>
        </w:rPr>
        <w:drawing>
          <wp:inline distT="0" distB="0" distL="0" distR="0" wp14:anchorId="574DD329" wp14:editId="5FAAC19B">
            <wp:extent cx="5943600" cy="3952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75C7" w14:textId="77777777" w:rsidR="001064B0" w:rsidRDefault="00956297">
      <w:pPr>
        <w:spacing w:before="80" w:after="260"/>
        <w:jc w:val="center"/>
      </w:pPr>
      <w:r>
        <w:rPr>
          <w:i/>
          <w:iCs/>
          <w:color w:val="595959"/>
          <w:sz w:val="19"/>
          <w:szCs w:val="19"/>
        </w:rPr>
        <w:t>Figure 5: Count of Survived vs Died patients across 12 comorbidities/</w:t>
      </w:r>
      <w:r>
        <w:rPr>
          <w:i/>
          <w:iCs/>
          <w:color w:val="595959"/>
          <w:sz w:val="19"/>
          <w:szCs w:val="19"/>
        </w:rPr>
        <w:t>conditions (Pneumonia, Diabetes, COPD, Asthma, Hypertension, Obesity, Renal disease, ICU, Tobacco use, Cardiovascular disease, Immunosuppression, Other disease). Pneumonia, ICU admission, and hypertension show visibly higher death counts among "Yes" patien</w:t>
      </w:r>
      <w:r>
        <w:rPr>
          <w:i/>
          <w:iCs/>
          <w:color w:val="595959"/>
          <w:sz w:val="19"/>
          <w:szCs w:val="19"/>
        </w:rPr>
        <w:t>ts.</w:t>
      </w:r>
    </w:p>
    <w:p w14:paraId="60CD2DA8" w14:textId="77777777" w:rsidR="001064B0" w:rsidRDefault="00956297">
      <w:pPr>
        <w:pStyle w:val="Heading2"/>
        <w:spacing w:before="280" w:after="120"/>
      </w:pPr>
      <w:r>
        <w:rPr>
          <w:b/>
          <w:bCs/>
          <w:sz w:val="24"/>
          <w:szCs w:val="24"/>
        </w:rPr>
        <w:t>4.2 Patient Type vs Death Status</w:t>
      </w:r>
    </w:p>
    <w:p w14:paraId="3A5D621E" w14:textId="77777777" w:rsidR="001064B0" w:rsidRDefault="00956297">
      <w:pPr>
        <w:spacing w:before="160" w:after="40"/>
        <w:jc w:val="center"/>
      </w:pPr>
      <w:r>
        <w:rPr>
          <w:noProof/>
        </w:rPr>
        <w:drawing>
          <wp:inline distT="0" distB="0" distL="0" distR="0" wp14:anchorId="34D23EDC" wp14:editId="00C258D0">
            <wp:extent cx="5943600" cy="2114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FBCE" w14:textId="77777777" w:rsidR="001064B0" w:rsidRDefault="00956297">
      <w:pPr>
        <w:spacing w:before="80" w:after="260"/>
        <w:jc w:val="center"/>
      </w:pPr>
      <w:r>
        <w:rPr>
          <w:i/>
          <w:iCs/>
          <w:color w:val="595959"/>
          <w:sz w:val="19"/>
          <w:szCs w:val="19"/>
        </w:rPr>
        <w:t>Figure 6: Hospitalized patients show a markedly higher death rate than patients who returned home, confirming hospitalization severity as a risk indicator.</w:t>
      </w:r>
    </w:p>
    <w:p w14:paraId="678DDEAE" w14:textId="77777777" w:rsidR="001064B0" w:rsidRDefault="00956297">
      <w:pPr>
        <w:pStyle w:val="Heading2"/>
        <w:spacing w:before="280" w:after="120"/>
      </w:pPr>
      <w:r>
        <w:rPr>
          <w:b/>
          <w:bCs/>
          <w:sz w:val="24"/>
          <w:szCs w:val="24"/>
        </w:rPr>
        <w:lastRenderedPageBreak/>
        <w:t>4.3 ICU Admission vs Death Status</w:t>
      </w:r>
    </w:p>
    <w:p w14:paraId="48A4B90A" w14:textId="77777777" w:rsidR="001064B0" w:rsidRDefault="00956297">
      <w:pPr>
        <w:spacing w:before="160" w:after="40"/>
        <w:jc w:val="center"/>
      </w:pPr>
      <w:r>
        <w:rPr>
          <w:noProof/>
        </w:rPr>
        <w:drawing>
          <wp:inline distT="0" distB="0" distL="0" distR="0" wp14:anchorId="3AD5E3B4" wp14:editId="3A8D3673">
            <wp:extent cx="5943600" cy="21240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89D3" w14:textId="77777777" w:rsidR="001064B0" w:rsidRDefault="00956297">
      <w:pPr>
        <w:spacing w:before="80" w:after="260"/>
        <w:jc w:val="center"/>
      </w:pPr>
      <w:r>
        <w:rPr>
          <w:i/>
          <w:iCs/>
          <w:color w:val="595959"/>
          <w:sz w:val="19"/>
          <w:szCs w:val="19"/>
        </w:rPr>
        <w:t>Figure 7: Patients admitted to the ICU have a substantially high</w:t>
      </w:r>
      <w:r>
        <w:rPr>
          <w:i/>
          <w:iCs/>
          <w:color w:val="595959"/>
          <w:sz w:val="19"/>
          <w:szCs w:val="19"/>
        </w:rPr>
        <w:t>er proportion of deaths compared to non-ICU patients.</w:t>
      </w:r>
    </w:p>
    <w:p w14:paraId="3CC351A6" w14:textId="77777777" w:rsidR="001064B0" w:rsidRDefault="00956297">
      <w:pPr>
        <w:pStyle w:val="Heading2"/>
        <w:spacing w:before="280" w:after="120"/>
      </w:pPr>
      <w:r>
        <w:rPr>
          <w:b/>
          <w:bCs/>
          <w:sz w:val="24"/>
          <w:szCs w:val="24"/>
        </w:rPr>
        <w:t>4.4 COVID Test Status vs Death Status</w:t>
      </w:r>
    </w:p>
    <w:p w14:paraId="2C2019A8" w14:textId="77777777" w:rsidR="001064B0" w:rsidRDefault="00956297">
      <w:pPr>
        <w:spacing w:before="160" w:after="40"/>
        <w:jc w:val="center"/>
      </w:pPr>
      <w:r>
        <w:rPr>
          <w:noProof/>
        </w:rPr>
        <w:drawing>
          <wp:inline distT="0" distB="0" distL="0" distR="0" wp14:anchorId="566EB8B6" wp14:editId="70B0FD46">
            <wp:extent cx="5943600" cy="21240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1F64" w14:textId="77777777" w:rsidR="001064B0" w:rsidRDefault="00956297">
      <w:pPr>
        <w:spacing w:before="80" w:after="260"/>
        <w:jc w:val="center"/>
      </w:pPr>
      <w:r>
        <w:rPr>
          <w:i/>
          <w:iCs/>
          <w:color w:val="595959"/>
          <w:sz w:val="19"/>
          <w:szCs w:val="19"/>
        </w:rPr>
        <w:t>Figure 8: COVID-positive patients show a higher death count than COVID-negative patients, as expected.</w:t>
      </w:r>
    </w:p>
    <w:p w14:paraId="1C12259C" w14:textId="77777777" w:rsidR="001064B0" w:rsidRDefault="00956297">
      <w:pPr>
        <w:pStyle w:val="Heading2"/>
        <w:spacing w:before="280" w:after="120"/>
      </w:pPr>
      <w:r>
        <w:rPr>
          <w:b/>
          <w:bCs/>
          <w:sz w:val="24"/>
          <w:szCs w:val="24"/>
        </w:rPr>
        <w:t>4.5 Age Group vs Death Status</w:t>
      </w:r>
    </w:p>
    <w:p w14:paraId="7F3982D2" w14:textId="77777777" w:rsidR="001064B0" w:rsidRDefault="00956297">
      <w:pPr>
        <w:spacing w:before="160" w:after="40"/>
        <w:jc w:val="center"/>
      </w:pPr>
      <w:r>
        <w:rPr>
          <w:noProof/>
        </w:rPr>
        <w:drawing>
          <wp:inline distT="0" distB="0" distL="0" distR="0" wp14:anchorId="50F15A7E" wp14:editId="56297B8C">
            <wp:extent cx="5943600" cy="21240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B87C" w14:textId="77777777" w:rsidR="001064B0" w:rsidRDefault="00956297">
      <w:pPr>
        <w:spacing w:before="80" w:after="260"/>
        <w:jc w:val="center"/>
      </w:pPr>
      <w:r>
        <w:rPr>
          <w:i/>
          <w:iCs/>
          <w:color w:val="595959"/>
          <w:sz w:val="19"/>
          <w:szCs w:val="19"/>
        </w:rPr>
        <w:t>Figure 9: Mortality rises s</w:t>
      </w:r>
      <w:r>
        <w:rPr>
          <w:i/>
          <w:iCs/>
          <w:color w:val="595959"/>
          <w:sz w:val="19"/>
          <w:szCs w:val="19"/>
        </w:rPr>
        <w:t>harply with age — Senior and Mid-age groups account for the large majority of deaths.</w:t>
      </w:r>
    </w:p>
    <w:p w14:paraId="216DC7AD" w14:textId="77777777" w:rsidR="002A7E8E" w:rsidRDefault="002A7E8E">
      <w:pPr>
        <w:pStyle w:val="Heading2"/>
        <w:spacing w:before="280" w:after="120"/>
        <w:rPr>
          <w:b/>
          <w:bCs/>
          <w:sz w:val="24"/>
          <w:szCs w:val="24"/>
        </w:rPr>
      </w:pPr>
    </w:p>
    <w:p w14:paraId="6C1E532C" w14:textId="70024068" w:rsidR="001064B0" w:rsidRDefault="00956297">
      <w:pPr>
        <w:pStyle w:val="Heading2"/>
        <w:spacing w:before="280" w:after="120"/>
      </w:pPr>
      <w:r>
        <w:rPr>
          <w:b/>
          <w:bCs/>
          <w:sz w:val="24"/>
          <w:szCs w:val="24"/>
        </w:rPr>
        <w:lastRenderedPageBreak/>
        <w:t>4.6 Severity (ICU/Ventilator) vs Death Status</w:t>
      </w:r>
    </w:p>
    <w:p w14:paraId="6269AEED" w14:textId="77777777" w:rsidR="001064B0" w:rsidRDefault="00956297">
      <w:pPr>
        <w:spacing w:before="160" w:after="40"/>
        <w:jc w:val="center"/>
      </w:pPr>
      <w:r>
        <w:rPr>
          <w:noProof/>
        </w:rPr>
        <w:drawing>
          <wp:inline distT="0" distB="0" distL="0" distR="0" wp14:anchorId="107599A8" wp14:editId="0A9475CF">
            <wp:extent cx="5943600" cy="21240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A254" w14:textId="77777777" w:rsidR="001064B0" w:rsidRDefault="00956297">
      <w:pPr>
        <w:spacing w:before="80" w:after="260"/>
        <w:jc w:val="center"/>
      </w:pPr>
      <w:r>
        <w:rPr>
          <w:i/>
          <w:iCs/>
          <w:color w:val="595959"/>
          <w:sz w:val="19"/>
          <w:szCs w:val="19"/>
        </w:rPr>
        <w:t>Figure 10: Patients classified as "Critical" (ICU admission or ventilator support) show a much higher death proportion tha</w:t>
      </w:r>
      <w:r>
        <w:rPr>
          <w:i/>
          <w:iCs/>
          <w:color w:val="595959"/>
          <w:sz w:val="19"/>
          <w:szCs w:val="19"/>
        </w:rPr>
        <w:t>n "Normal" patients.</w:t>
      </w:r>
    </w:p>
    <w:p w14:paraId="48281707" w14:textId="77777777" w:rsidR="001064B0" w:rsidRDefault="00956297">
      <w:pPr>
        <w:pStyle w:val="Heading2"/>
        <w:spacing w:before="280" w:after="120"/>
      </w:pPr>
      <w:r>
        <w:rPr>
          <w:b/>
          <w:bCs/>
          <w:sz w:val="24"/>
          <w:szCs w:val="24"/>
        </w:rPr>
        <w:t>4.7 Age Distribution by Death Status</w:t>
      </w:r>
    </w:p>
    <w:p w14:paraId="45084F52" w14:textId="77777777" w:rsidR="001064B0" w:rsidRDefault="00956297">
      <w:pPr>
        <w:spacing w:before="160" w:after="40"/>
        <w:jc w:val="center"/>
      </w:pPr>
      <w:r>
        <w:rPr>
          <w:noProof/>
        </w:rPr>
        <w:drawing>
          <wp:inline distT="0" distB="0" distL="0" distR="0" wp14:anchorId="7C784D61" wp14:editId="2E3D7182">
            <wp:extent cx="5943600" cy="2095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C637" w14:textId="77777777" w:rsidR="001064B0" w:rsidRDefault="00956297">
      <w:pPr>
        <w:spacing w:before="80" w:after="260"/>
        <w:jc w:val="center"/>
      </w:pPr>
      <w:r>
        <w:rPr>
          <w:i/>
          <w:iCs/>
          <w:color w:val="595959"/>
          <w:sz w:val="19"/>
          <w:szCs w:val="19"/>
        </w:rPr>
        <w:t>Figure 11: Boxplot and average-age comparison confirm that patients who died were, on average, considerably older than patients who survived.</w:t>
      </w:r>
    </w:p>
    <w:p w14:paraId="72DC2C7B" w14:textId="77777777" w:rsidR="001064B0" w:rsidRDefault="00956297">
      <w:r>
        <w:br w:type="page"/>
      </w:r>
    </w:p>
    <w:p w14:paraId="03A3584F" w14:textId="77777777" w:rsidR="001064B0" w:rsidRDefault="00956297">
      <w:pPr>
        <w:pStyle w:val="Heading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5. Multivariate Analysis</w:t>
      </w:r>
    </w:p>
    <w:p w14:paraId="2C7F7849" w14:textId="77777777" w:rsidR="001064B0" w:rsidRDefault="00956297">
      <w:pPr>
        <w:spacing w:after="160" w:line="300" w:lineRule="auto"/>
      </w:pPr>
      <w:r>
        <w:rPr>
          <w:color w:val="262626"/>
          <w:sz w:val="22"/>
          <w:szCs w:val="22"/>
        </w:rPr>
        <w:t xml:space="preserve">Combining multiple factors </w:t>
      </w:r>
      <w:r>
        <w:rPr>
          <w:color w:val="262626"/>
          <w:sz w:val="22"/>
          <w:szCs w:val="22"/>
        </w:rPr>
        <w:t>together helps reveal compounded risk — for example, whether the effect of age on mortality changes depending on the presence of a comorbidity.</w:t>
      </w:r>
    </w:p>
    <w:p w14:paraId="31365B17" w14:textId="77777777" w:rsidR="001064B0" w:rsidRDefault="00956297">
      <w:pPr>
        <w:pStyle w:val="Heading2"/>
        <w:spacing w:before="280" w:after="120"/>
      </w:pPr>
      <w:r>
        <w:rPr>
          <w:b/>
          <w:bCs/>
          <w:sz w:val="24"/>
          <w:szCs w:val="24"/>
        </w:rPr>
        <w:t>5.1 Age Group × Diabetes × Death Status</w:t>
      </w:r>
    </w:p>
    <w:p w14:paraId="0D5161A4" w14:textId="77777777" w:rsidR="001064B0" w:rsidRDefault="00956297">
      <w:pPr>
        <w:spacing w:before="160" w:after="40"/>
        <w:jc w:val="center"/>
      </w:pPr>
      <w:r>
        <w:rPr>
          <w:noProof/>
        </w:rPr>
        <w:drawing>
          <wp:inline distT="0" distB="0" distL="0" distR="0" wp14:anchorId="06385807" wp14:editId="3A95C92E">
            <wp:extent cx="6286500" cy="15906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93B8" w14:textId="77777777" w:rsidR="001064B0" w:rsidRDefault="00956297">
      <w:pPr>
        <w:spacing w:before="80" w:after="260"/>
        <w:jc w:val="center"/>
      </w:pPr>
      <w:r>
        <w:rPr>
          <w:i/>
          <w:iCs/>
          <w:color w:val="595959"/>
          <w:sz w:val="19"/>
          <w:szCs w:val="19"/>
        </w:rPr>
        <w:t>Figure 12: Death counts by age group, split by diabetes status. Within</w:t>
      </w:r>
      <w:r>
        <w:rPr>
          <w:i/>
          <w:iCs/>
          <w:color w:val="595959"/>
          <w:sz w:val="19"/>
          <w:szCs w:val="19"/>
        </w:rPr>
        <w:t xml:space="preserve"> every age group, diabetic patients (Yes) show a higher relative death count than non-diabetic patients, and this gap widens for older age groups.</w:t>
      </w:r>
    </w:p>
    <w:p w14:paraId="6AFEA3BA" w14:textId="77777777" w:rsidR="001064B0" w:rsidRDefault="00956297">
      <w:pPr>
        <w:pStyle w:val="Heading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6. Time-Series Analysis</w:t>
      </w:r>
    </w:p>
    <w:p w14:paraId="45DC0504" w14:textId="77777777" w:rsidR="001064B0" w:rsidRDefault="00956297">
      <w:pPr>
        <w:spacing w:after="160" w:line="300" w:lineRule="auto"/>
      </w:pPr>
      <w:r>
        <w:rPr>
          <w:color w:val="262626"/>
          <w:sz w:val="22"/>
          <w:szCs w:val="22"/>
        </w:rPr>
        <w:t>Death records were analyzed over time using the death date to identify mortality trends across the pandemic period covered by the dataset.</w:t>
      </w:r>
    </w:p>
    <w:p w14:paraId="24B93A67" w14:textId="77777777" w:rsidR="001064B0" w:rsidRDefault="00956297">
      <w:pPr>
        <w:pStyle w:val="Heading2"/>
        <w:spacing w:before="280" w:after="120"/>
      </w:pPr>
      <w:r>
        <w:rPr>
          <w:b/>
          <w:bCs/>
          <w:sz w:val="24"/>
          <w:szCs w:val="24"/>
        </w:rPr>
        <w:t>6.1 Deaths by Year</w:t>
      </w:r>
    </w:p>
    <w:p w14:paraId="710253FC" w14:textId="77777777" w:rsidR="001064B0" w:rsidRDefault="00956297">
      <w:pPr>
        <w:spacing w:before="160" w:after="40"/>
        <w:jc w:val="center"/>
      </w:pPr>
      <w:r>
        <w:rPr>
          <w:noProof/>
        </w:rPr>
        <w:drawing>
          <wp:inline distT="0" distB="0" distL="0" distR="0" wp14:anchorId="1F53ABE0" wp14:editId="67F572C2">
            <wp:extent cx="3048000" cy="2952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F132" w14:textId="77777777" w:rsidR="001064B0" w:rsidRDefault="00956297">
      <w:pPr>
        <w:spacing w:before="80" w:after="260"/>
        <w:jc w:val="center"/>
      </w:pPr>
      <w:r>
        <w:rPr>
          <w:i/>
          <w:iCs/>
          <w:color w:val="595959"/>
          <w:sz w:val="19"/>
          <w:szCs w:val="19"/>
        </w:rPr>
        <w:t>Figure 13: The overwhelming majority of recorded deaths (76,625) occurred in 2020, compared to only 317 in 2021 — reflecting the period of data coverage and the pandemic's peak impact.</w:t>
      </w:r>
    </w:p>
    <w:p w14:paraId="78879A9D" w14:textId="77777777" w:rsidR="002A7E8E" w:rsidRDefault="002A7E8E">
      <w:pPr>
        <w:pStyle w:val="Heading2"/>
        <w:spacing w:before="280" w:after="120"/>
        <w:rPr>
          <w:b/>
          <w:bCs/>
          <w:sz w:val="24"/>
          <w:szCs w:val="24"/>
        </w:rPr>
      </w:pPr>
    </w:p>
    <w:p w14:paraId="659DCE5F" w14:textId="0B91EEEC" w:rsidR="001064B0" w:rsidRDefault="00956297">
      <w:pPr>
        <w:pStyle w:val="Heading2"/>
        <w:spacing w:before="280" w:after="120"/>
      </w:pPr>
      <w:bookmarkStart w:id="0" w:name="_GoBack"/>
      <w:bookmarkEnd w:id="0"/>
      <w:r>
        <w:rPr>
          <w:b/>
          <w:bCs/>
          <w:sz w:val="24"/>
          <w:szCs w:val="24"/>
        </w:rPr>
        <w:lastRenderedPageBreak/>
        <w:t>6.2 Deaths by Month — 2020 vs 2021</w:t>
      </w:r>
    </w:p>
    <w:p w14:paraId="72031017" w14:textId="77777777" w:rsidR="001064B0" w:rsidRDefault="00956297">
      <w:pPr>
        <w:spacing w:before="160" w:after="40"/>
        <w:jc w:val="center"/>
      </w:pPr>
      <w:r>
        <w:rPr>
          <w:noProof/>
        </w:rPr>
        <w:drawing>
          <wp:inline distT="0" distB="0" distL="0" distR="0" wp14:anchorId="4E407A21" wp14:editId="1A9A3548">
            <wp:extent cx="5943600" cy="21050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3824" w14:textId="77777777" w:rsidR="001064B0" w:rsidRDefault="00956297">
      <w:pPr>
        <w:spacing w:before="80" w:after="260"/>
        <w:jc w:val="center"/>
      </w:pPr>
      <w:r>
        <w:rPr>
          <w:i/>
          <w:iCs/>
          <w:color w:val="595959"/>
          <w:sz w:val="19"/>
          <w:szCs w:val="19"/>
        </w:rPr>
        <w:t>Figure 14: Monthly death counts fo</w:t>
      </w:r>
      <w:r>
        <w:rPr>
          <w:i/>
          <w:iCs/>
          <w:color w:val="595959"/>
          <w:sz w:val="19"/>
          <w:szCs w:val="19"/>
        </w:rPr>
        <w:t>r 2020 and 2021 shown separately. 2020 shows a clear peak around May–June, indicating the period of highest mortality; 2021 data is comparatively sparse.</w:t>
      </w:r>
    </w:p>
    <w:p w14:paraId="16AFAB9A" w14:textId="77777777" w:rsidR="001064B0" w:rsidRDefault="00956297">
      <w:r>
        <w:br w:type="page"/>
      </w:r>
    </w:p>
    <w:p w14:paraId="6C56E36C" w14:textId="77777777" w:rsidR="001064B0" w:rsidRDefault="00956297">
      <w:pPr>
        <w:pStyle w:val="Heading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7. Key Findings</w:t>
      </w:r>
    </w:p>
    <w:p w14:paraId="5C5F9414" w14:textId="77777777" w:rsidR="001064B0" w:rsidRDefault="00956297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62626"/>
          <w:sz w:val="21"/>
          <w:szCs w:val="21"/>
        </w:rPr>
        <w:t>The dataset is highly imbalanced on the target variable: ~7.3% of patients died vs ~</w:t>
      </w:r>
      <w:r>
        <w:rPr>
          <w:color w:val="262626"/>
          <w:sz w:val="21"/>
          <w:szCs w:val="21"/>
        </w:rPr>
        <w:t>92.7% survived.</w:t>
      </w:r>
    </w:p>
    <w:p w14:paraId="59C0A831" w14:textId="77777777" w:rsidR="001064B0" w:rsidRDefault="00956297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62626"/>
          <w:sz w:val="21"/>
          <w:szCs w:val="21"/>
        </w:rPr>
        <w:t>Age is one of the strongest risk factors — mortality increases steadily with age, peaking in the Senior group.</w:t>
      </w:r>
    </w:p>
    <w:p w14:paraId="4F015357" w14:textId="77777777" w:rsidR="001064B0" w:rsidRDefault="00956297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62626"/>
          <w:sz w:val="21"/>
          <w:szCs w:val="21"/>
        </w:rPr>
        <w:t>ICU admission and ventilator support ("Critical" severity) are strongly associated with higher death rates.</w:t>
      </w:r>
    </w:p>
    <w:p w14:paraId="00E70DE5" w14:textId="77777777" w:rsidR="001064B0" w:rsidRDefault="00956297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62626"/>
          <w:sz w:val="21"/>
          <w:szCs w:val="21"/>
        </w:rPr>
        <w:t>Hospitalized patients</w:t>
      </w:r>
      <w:r>
        <w:rPr>
          <w:color w:val="262626"/>
          <w:sz w:val="21"/>
          <w:szCs w:val="21"/>
        </w:rPr>
        <w:t xml:space="preserve"> have a much higher death rate than patients who returned home, as expected for more severe cases.</w:t>
      </w:r>
    </w:p>
    <w:p w14:paraId="3B0CC323" w14:textId="77777777" w:rsidR="001064B0" w:rsidRDefault="00956297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62626"/>
          <w:sz w:val="21"/>
          <w:szCs w:val="21"/>
        </w:rPr>
        <w:t xml:space="preserve">Comorbidities such as pneumonia, hypertension, diabetes, and obesity are all associated with elevated mortality, with pneumonia showing the strongest visual </w:t>
      </w:r>
      <w:r>
        <w:rPr>
          <w:color w:val="262626"/>
          <w:sz w:val="21"/>
          <w:szCs w:val="21"/>
        </w:rPr>
        <w:t>association.</w:t>
      </w:r>
    </w:p>
    <w:p w14:paraId="73A6F15A" w14:textId="77777777" w:rsidR="001064B0" w:rsidRDefault="00956297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62626"/>
          <w:sz w:val="21"/>
          <w:szCs w:val="21"/>
        </w:rPr>
        <w:t>The combined effect of age and diabetes shows compounded risk — diabetic patients in older age groups face notably higher mortality than non-diabetic patients of the same age.</w:t>
      </w:r>
    </w:p>
    <w:p w14:paraId="6685F49E" w14:textId="77777777" w:rsidR="001064B0" w:rsidRDefault="00956297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62626"/>
          <w:sz w:val="21"/>
          <w:szCs w:val="21"/>
        </w:rPr>
        <w:t>Almost all recorded deaths occurred in 2020 (76,625) versus 2021 (3</w:t>
      </w:r>
      <w:r>
        <w:rPr>
          <w:color w:val="262626"/>
          <w:sz w:val="21"/>
          <w:szCs w:val="21"/>
        </w:rPr>
        <w:t>17), with a peak around May–June 2020.</w:t>
      </w:r>
    </w:p>
    <w:p w14:paraId="3C063308" w14:textId="77777777" w:rsidR="001064B0" w:rsidRDefault="00956297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62626"/>
          <w:sz w:val="21"/>
          <w:szCs w:val="21"/>
        </w:rPr>
        <w:t>Missing values (coded 97/98/99 or blank dates) were concentrated in medical-condition columns and were treated as "Unknown" rather than dropped, preserving dataset size without materially distorting the overall distri</w:t>
      </w:r>
      <w:r>
        <w:rPr>
          <w:color w:val="262626"/>
          <w:sz w:val="21"/>
          <w:szCs w:val="21"/>
        </w:rPr>
        <w:t>butions.</w:t>
      </w:r>
    </w:p>
    <w:p w14:paraId="54E08762" w14:textId="77777777" w:rsidR="001064B0" w:rsidRDefault="00956297">
      <w:pPr>
        <w:pStyle w:val="Heading2"/>
        <w:spacing w:before="280" w:after="120"/>
      </w:pPr>
      <w:r>
        <w:rPr>
          <w:b/>
          <w:bCs/>
          <w:sz w:val="24"/>
          <w:szCs w:val="24"/>
        </w:rPr>
        <w:t>Conclusion</w:t>
      </w:r>
    </w:p>
    <w:p w14:paraId="44B68D66" w14:textId="77777777" w:rsidR="001064B0" w:rsidRDefault="00956297">
      <w:pPr>
        <w:spacing w:after="160" w:line="300" w:lineRule="auto"/>
      </w:pPr>
      <w:r>
        <w:rPr>
          <w:color w:val="262626"/>
          <w:sz w:val="22"/>
          <w:szCs w:val="22"/>
        </w:rPr>
        <w:t>This EDA shows that age, ICU admission/ventilator use, hospitalization status, and select comorbidities (especially pneumonia, hypertension, diabetes, and obesity) are the most visible risk factors for COVID-19 mortality in this dataset</w:t>
      </w:r>
      <w:r>
        <w:rPr>
          <w:color w:val="262626"/>
          <w:sz w:val="22"/>
          <w:szCs w:val="22"/>
        </w:rPr>
        <w:t>. These patterns provide a strong foundation for further statistical testing or predictive modelling of patient risk.</w:t>
      </w:r>
    </w:p>
    <w:sectPr w:rsidR="001064B0">
      <w:headerReference w:type="default" r:id="rId21"/>
      <w:footerReference w:type="default" r:id="rId2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38D1CE" w14:textId="77777777" w:rsidR="00956297" w:rsidRDefault="00956297">
      <w:r>
        <w:separator/>
      </w:r>
    </w:p>
  </w:endnote>
  <w:endnote w:type="continuationSeparator" w:id="0">
    <w:p w14:paraId="6C30C750" w14:textId="77777777" w:rsidR="00956297" w:rsidRDefault="00956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CF8E34" w14:textId="77777777" w:rsidR="001064B0" w:rsidRDefault="00956297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2A7E8E">
      <w:rPr>
        <w:color w:val="595959"/>
        <w:sz w:val="16"/>
        <w:szCs w:val="16"/>
      </w:rPr>
      <w:fldChar w:fldCharType="separate"/>
    </w:r>
    <w:r w:rsidR="002A7E8E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0A24D4" w14:textId="77777777" w:rsidR="00956297" w:rsidRDefault="00956297">
      <w:r>
        <w:separator/>
      </w:r>
    </w:p>
  </w:footnote>
  <w:footnote w:type="continuationSeparator" w:id="0">
    <w:p w14:paraId="50D4F619" w14:textId="77777777" w:rsidR="00956297" w:rsidRDefault="00956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3A1632" w14:textId="77777777" w:rsidR="001064B0" w:rsidRDefault="00956297">
    <w:pPr>
      <w:pBdr>
        <w:bottom w:val="single" w:sz="4" w:space="4" w:color="BFBFBF"/>
      </w:pBdr>
      <w:tabs>
        <w:tab w:val="right" w:pos="9026"/>
      </w:tabs>
    </w:pPr>
    <w:r>
      <w:rPr>
        <w:color w:val="595959"/>
        <w:sz w:val="16"/>
        <w:szCs w:val="16"/>
      </w:rPr>
      <w:t>COVID-19 Patient Data — EDA Report</w:t>
    </w:r>
    <w:r>
      <w:rPr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59C662B"/>
    <w:multiLevelType w:val="hybridMultilevel"/>
    <w:tmpl w:val="B06CA0AA"/>
    <w:lvl w:ilvl="0" w:tplc="36827FCC">
      <w:start w:val="1"/>
      <w:numFmt w:val="bullet"/>
      <w:lvlText w:val="●"/>
      <w:lvlJc w:val="left"/>
      <w:pPr>
        <w:ind w:left="720" w:hanging="360"/>
      </w:pPr>
    </w:lvl>
    <w:lvl w:ilvl="1" w:tplc="44F84594">
      <w:start w:val="1"/>
      <w:numFmt w:val="bullet"/>
      <w:lvlText w:val="○"/>
      <w:lvlJc w:val="left"/>
      <w:pPr>
        <w:ind w:left="1440" w:hanging="360"/>
      </w:pPr>
    </w:lvl>
    <w:lvl w:ilvl="2" w:tplc="B19AEBD2">
      <w:start w:val="1"/>
      <w:numFmt w:val="bullet"/>
      <w:lvlText w:val="■"/>
      <w:lvlJc w:val="left"/>
      <w:pPr>
        <w:ind w:left="2160" w:hanging="360"/>
      </w:pPr>
    </w:lvl>
    <w:lvl w:ilvl="3" w:tplc="98DE1866">
      <w:start w:val="1"/>
      <w:numFmt w:val="bullet"/>
      <w:lvlText w:val="●"/>
      <w:lvlJc w:val="left"/>
      <w:pPr>
        <w:ind w:left="2880" w:hanging="360"/>
      </w:pPr>
    </w:lvl>
    <w:lvl w:ilvl="4" w:tplc="7AD26CFC">
      <w:start w:val="1"/>
      <w:numFmt w:val="bullet"/>
      <w:lvlText w:val="○"/>
      <w:lvlJc w:val="left"/>
      <w:pPr>
        <w:ind w:left="3600" w:hanging="360"/>
      </w:pPr>
    </w:lvl>
    <w:lvl w:ilvl="5" w:tplc="91AAB986">
      <w:start w:val="1"/>
      <w:numFmt w:val="bullet"/>
      <w:lvlText w:val="■"/>
      <w:lvlJc w:val="left"/>
      <w:pPr>
        <w:ind w:left="4320" w:hanging="360"/>
      </w:pPr>
    </w:lvl>
    <w:lvl w:ilvl="6" w:tplc="E9AE3734">
      <w:start w:val="1"/>
      <w:numFmt w:val="bullet"/>
      <w:lvlText w:val="●"/>
      <w:lvlJc w:val="left"/>
      <w:pPr>
        <w:ind w:left="5040" w:hanging="360"/>
      </w:pPr>
    </w:lvl>
    <w:lvl w:ilvl="7" w:tplc="20F00680">
      <w:start w:val="1"/>
      <w:numFmt w:val="bullet"/>
      <w:lvlText w:val="●"/>
      <w:lvlJc w:val="left"/>
      <w:pPr>
        <w:ind w:left="5760" w:hanging="360"/>
      </w:pPr>
    </w:lvl>
    <w:lvl w:ilvl="8" w:tplc="99D025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4B0"/>
    <w:rsid w:val="001064B0"/>
    <w:rsid w:val="002A7E8E"/>
    <w:rsid w:val="0095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4CF30"/>
  <w15:docId w15:val="{49458F91-C2DD-4E38-BD3F-31C119010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1001</Words>
  <Characters>5708</Characters>
  <Application>Microsoft Office Word</Application>
  <DocSecurity>0</DocSecurity>
  <Lines>47</Lines>
  <Paragraphs>13</Paragraphs>
  <ScaleCrop>false</ScaleCrop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2026-07-01T12:40:00Z</dcterms:created>
  <dcterms:modified xsi:type="dcterms:W3CDTF">2026-07-01T12:47:00Z</dcterms:modified>
</cp:coreProperties>
</file>