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b/>
          <w:bCs/>
          <w:color w:val="1F4E79"/>
          <w:sz w:val="64"/>
          <w:szCs w:val="64"/>
        </w:rPr>
        <w:t xml:space="preserve">TRUSTSPHERE AI</w:t>
      </w:r>
    </w:p>
    <w:p>
      <w:pPr>
        <w:spacing w:after="100" w:before="200"/>
        <w:jc w:val="center"/>
      </w:pPr>
      <w:r>
        <w:rPr>
          <w:i/>
          <w:iCs/>
          <w:color w:val="2E75B6"/>
          <w:sz w:val="28"/>
          <w:szCs w:val="28"/>
        </w:rPr>
        <w:t xml:space="preserve">Presentation Content &amp; Slide-by-Slide Script</w:t>
      </w:r>
    </w:p>
    <w:p>
      <w:pPr>
        <w:spacing w:before="400"/>
        <w:jc w:val="center"/>
      </w:pPr>
      <w:r>
        <w:rPr>
          <w:color w:val="595959"/>
          <w:sz w:val="24"/>
          <w:szCs w:val="24"/>
        </w:rPr>
        <w:t xml:space="preserve">A Privacy-First, Risk-Based Identity Trust Platform for Real-Time Banking Security</w:t>
      </w:r>
    </w:p>
    <w:p>
      <w:pPr>
        <w:spacing w:before="600"/>
        <w:jc w:val="center"/>
      </w:pPr>
      <w:r>
        <w:rPr>
          <w:b/>
          <w:bCs/>
          <w:sz w:val="22"/>
          <w:szCs w:val="22"/>
        </w:rPr>
        <w:t xml:space="preserve">Bank of Baroda Hackathon 2026</w:t>
      </w:r>
    </w:p>
    <w:p>
      <w:pPr>
        <w:spacing w:before="60"/>
        <w:jc w:val="center"/>
      </w:pPr>
      <w:r>
        <w:rPr>
          <w:color w:val="595959"/>
          <w:sz w:val="22"/>
          <w:szCs w:val="22"/>
        </w:rPr>
        <w:t xml:space="preserve">Theme: Identity Trust, Protection &amp; Safety</w:t>
      </w:r>
    </w:p>
    <w:p>
      <w:pPr>
        <w:spacing w:before="900"/>
        <w:jc w:val="center"/>
      </w:pPr>
      <w:r>
        <w:rPr>
          <w:i/>
          <w:iCs/>
          <w:color w:val="595959"/>
          <w:sz w:val="20"/>
          <w:szCs w:val="20"/>
        </w:rPr>
        <w:t xml:space="preserve">This document contains the finalised written content for every slide of the pitch deck, rewritten in clear, presentation-ready language and sized to what a judge can actually read in the seconds they will spend on each slide. Use it directly as the copy for your PowerPoint — headings become slide titles, and each bullet block is scoped to fit comfortably on one slide.</w:t>
      </w:r>
    </w:p>
    <w:p>
      <w:r>
        <w:br w:type="page"/>
      </w:r>
    </w:p>
    <w:p>
      <w:pPr>
        <w:pStyle w:val="Heading1"/>
        <w:spacing w:after="160" w:before="400"/>
      </w:pPr>
      <w:r>
        <w:rPr>
          <w:b/>
          <w:bCs/>
          <w:color w:val="1F4E79"/>
          <w:sz w:val="30"/>
          <w:szCs w:val="30"/>
        </w:rPr>
        <w:t xml:space="preserve">How to Use This Document</w:t>
      </w:r>
    </w:p>
    <w:p>
      <w:pPr>
        <w:spacing w:after="140" w:line="300"/>
      </w:pPr>
      <w:r>
        <w:rPr>
          <w:sz w:val="22"/>
          <w:szCs w:val="22"/>
        </w:rPr>
        <w:t xml:space="preserve">This document is organised slide-by-slide, in the exact order the deck should be presented. For every slide you will find three things: the recommended on-slide content (this is what should physically appear on the slide, kept short enough to read in 10–15 seconds), a short narration paragraph you can use while presenting, and a note on suggested visuals or layout. Content has been deliberately trimmed so that no single slide is overloaded — judges skim, they don't read paragraphs, so density has been kept to what a slide can actually carry.</w:t>
      </w:r>
    </w:p>
    <w:p>
      <w:pPr>
        <w:spacing w:after="140" w:line="300"/>
      </w:pPr>
      <w:r>
        <w:rPr>
          <w:sz w:val="22"/>
          <w:szCs w:val="22"/>
        </w:rPr>
        <w:t xml:space="preserve">A quick guide to how much should go on each slide:</w:t>
      </w:r>
    </w:p>
    <w:p>
      <w:pPr>
        <w:pStyle w:val="ListParagraph"/>
        <w:numPr>
          <w:ilvl w:val="0"/>
          <w:numId w:val="2"/>
        </w:numPr>
        <w:spacing w:after="80" w:line="280"/>
      </w:pPr>
      <w:r>
        <w:rPr>
          <w:sz w:val="22"/>
          <w:szCs w:val="22"/>
        </w:rPr>
        <w:t xml:space="preserve">Title, Section-divider slides (Slide 1): 1 headline + 1 subheading + tagline — nothing else.</w:t>
      </w:r>
    </w:p>
    <w:p>
      <w:pPr>
        <w:pStyle w:val="ListParagraph"/>
        <w:numPr>
          <w:ilvl w:val="0"/>
          <w:numId w:val="2"/>
        </w:numPr>
        <w:spacing w:after="80" w:line="280"/>
      </w:pPr>
      <w:r>
        <w:rPr>
          <w:sz w:val="22"/>
          <w:szCs w:val="22"/>
        </w:rPr>
        <w:t xml:space="preserve">Concept slides (Slides 2, 3, 7, 10): 4–6 bullets, each one line, plus one supporting table or stat block.</w:t>
      </w:r>
    </w:p>
    <w:p>
      <w:pPr>
        <w:pStyle w:val="ListParagraph"/>
        <w:numPr>
          <w:ilvl w:val="0"/>
          <w:numId w:val="2"/>
        </w:numPr>
        <w:spacing w:after="80" w:line="280"/>
      </w:pPr>
      <w:r>
        <w:rPr>
          <w:sz w:val="22"/>
          <w:szCs w:val="22"/>
        </w:rPr>
        <w:t xml:space="preserve">Technical / architecture slides (Slides 4, 6, 8): 1 diagram as the hero visual, with 3–4 callout bullets beside it, not paragraphs.</w:t>
      </w:r>
    </w:p>
    <w:p>
      <w:pPr>
        <w:pStyle w:val="ListParagraph"/>
        <w:numPr>
          <w:ilvl w:val="0"/>
          <w:numId w:val="2"/>
        </w:numPr>
        <w:spacing w:after="80" w:line="280"/>
      </w:pPr>
      <w:r>
        <w:rPr>
          <w:sz w:val="22"/>
          <w:szCs w:val="22"/>
        </w:rPr>
        <w:t xml:space="preserve">Deep-dive slides (Slide 5, 9): split across 2 slides in the physical deck if needed — 7 engines and 4 compliance tables are too much for one slide each; this document marks where to split.</w:t>
      </w:r>
    </w:p>
    <w:p>
      <w:pPr>
        <w:spacing w:after="200" w:before="100"/>
      </w:pPr>
      <w:r>
        <w:rPr>
          <w:i/>
          <w:iCs/>
          <w:color w:val="595959"/>
          <w:sz w:val="20"/>
          <w:szCs w:val="20"/>
        </w:rPr>
        <w:t xml:space="preserve">The Risk Coverage table below is your opening weapon — it is often worth showing first, even before the title slide, since it directly answers the hackathon problem statement.</w:t>
      </w:r>
    </w:p>
    <w:p>
      <w:pPr>
        <w:pStyle w:val="Heading1"/>
        <w:spacing w:after="160" w:before="400"/>
      </w:pPr>
      <w:r>
        <w:rPr>
          <w:b/>
          <w:bCs/>
          <w:color w:val="1F4E79"/>
          <w:sz w:val="30"/>
          <w:szCs w:val="30"/>
        </w:rPr>
        <w:t xml:space="preserve">Opening Slide — Risk Coverage Assessment</w:t>
      </w:r>
    </w:p>
    <w:p>
      <w:pPr>
        <w:spacing w:after="40" w:before="120"/>
      </w:pPr>
      <w:r>
        <w:rPr>
          <w:b/>
          <w:bCs/>
          <w:i/>
          <w:iCs/>
          <w:color w:val="595959"/>
          <w:sz w:val="20"/>
          <w:szCs w:val="20"/>
        </w:rPr>
        <w:t xml:space="preserve">Purpose: This is the direct, no-nonsense answer to the hackathon's problem statement. Show it early.</w:t>
      </w:r>
    </w:p>
    <w:p>
      <w:pPr>
        <w:spacing w:after="140" w:line="300"/>
      </w:pPr>
      <w:r>
        <w:rPr>
          <w:sz w:val="22"/>
          <w:szCs w:val="22"/>
        </w:rPr>
        <w:t xml:space="preserve">Before introducing the product, lead with proof that every risk category named in the hackathon brief has a working, implemented answer inside TrustSphere. This reframes the rest of the pitch — you are not asking judges to imagine a solution, you are showing them one that already exists.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600"/>
      </w:tblGrid>
      <w:tr>
        <w:trPr>
          <w:tblHeader/>
        </w:trPr>
        <w:tc>
          <w:tcPr>
            <w:tcW w:type="dxa" w:w="3200"/>
            <w:shd w:fill="1F4E79" w:color="auto" w:val="clear"/>
            <w:tcMar>
              <w:top w:type="dxa" w:w="80"/>
              <w:left w:type="dxa" w:w="100"/>
              <w:bottom w:type="dxa" w:w="80"/>
              <w:right w:type="dxa" w:w="100"/>
            </w:tcMar>
            <w:vAlign w:val="center"/>
          </w:tcPr>
          <w:p>
            <w:pPr>
              <w:jc w:val="left"/>
            </w:pPr>
            <w:r>
              <w:rPr>
                <w:b/>
                <w:bCs/>
                <w:color w:val="FFFFFF"/>
                <w:sz w:val="20"/>
                <w:szCs w:val="20"/>
              </w:rPr>
              <w:t xml:space="preserve">Risk Category</w:t>
            </w:r>
          </w:p>
        </w:tc>
        <w:tc>
          <w:tcPr>
            <w:tcW w:type="dxa" w:w="1800"/>
            <w:shd w:fill="1F4E79" w:color="auto" w:val="clear"/>
            <w:tcMar>
              <w:top w:type="dxa" w:w="80"/>
              <w:left w:type="dxa" w:w="100"/>
              <w:bottom w:type="dxa" w:w="80"/>
              <w:right w:type="dxa" w:w="100"/>
            </w:tcMar>
            <w:vAlign w:val="center"/>
          </w:tcPr>
          <w:p>
            <w:pPr>
              <w:jc w:val="left"/>
            </w:pPr>
            <w:r>
              <w:rPr>
                <w:b/>
                <w:bCs/>
                <w:color w:val="FFFFFF"/>
                <w:sz w:val="20"/>
                <w:szCs w:val="20"/>
              </w:rPr>
              <w:t xml:space="preserve">Status</w:t>
            </w:r>
          </w:p>
        </w:tc>
        <w:tc>
          <w:tcPr>
            <w:tcW w:type="dxa" w:w="4600"/>
            <w:shd w:fill="1F4E79" w:color="auto" w:val="clear"/>
            <w:tcMar>
              <w:top w:type="dxa" w:w="80"/>
              <w:left w:type="dxa" w:w="100"/>
              <w:bottom w:type="dxa" w:w="80"/>
              <w:right w:type="dxa" w:w="100"/>
            </w:tcMar>
            <w:vAlign w:val="center"/>
          </w:tcPr>
          <w:p>
            <w:pPr>
              <w:jc w:val="left"/>
            </w:pPr>
            <w:r>
              <w:rPr>
                <w:b/>
                <w:bCs/>
                <w:color w:val="FFFFFF"/>
                <w:sz w:val="20"/>
                <w:szCs w:val="20"/>
              </w:rPr>
              <w:t xml:space="preserve">How TrustSphere Solves It</w:t>
            </w:r>
          </w:p>
        </w:tc>
      </w:tr>
      <w:tr>
        <w:tc>
          <w:tcPr>
            <w:tcW w:type="dxa" w:w="32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Account Takeover (ATO)</w:t>
            </w:r>
          </w:p>
        </w:tc>
        <w:tc>
          <w:tcPr>
            <w:tcW w:type="dxa" w:w="18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Implemented</w:t>
            </w:r>
          </w:p>
        </w:tc>
        <w:tc>
          <w:tcPr>
            <w:tcW w:type="dxa" w:w="46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Real-time Trust Score with OTP/Block triggers, impossible-travel detection, and continuous mid-session re-evaluation</w:t>
            </w:r>
          </w:p>
        </w:tc>
      </w:tr>
      <w:tr>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KYC Fraud</w:t>
            </w:r>
          </w:p>
        </w:tc>
        <w:tc>
          <w:tcPr>
            <w:tcW w:type="dxa" w:w="1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Implemented</w:t>
            </w:r>
          </w:p>
        </w:tc>
        <w:tc>
          <w:tcPr>
            <w:tcW w:type="dxa" w:w="4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Onboarding Engine flags disposable emails, synthetic identities, signup velocity abuse, and bot behaviour</w:t>
            </w:r>
          </w:p>
        </w:tc>
      </w:tr>
      <w:tr>
        <w:tc>
          <w:tcPr>
            <w:tcW w:type="dxa" w:w="32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Insider Threats</w:t>
            </w:r>
          </w:p>
        </w:tc>
        <w:tc>
          <w:tcPr>
            <w:tcW w:type="dxa" w:w="18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Implemented</w:t>
            </w:r>
          </w:p>
        </w:tc>
        <w:tc>
          <w:tcPr>
            <w:tcW w:type="dxa" w:w="46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PrivGuard Privileged Access Engine watches for off-hours activity and abnormal admin action volume, with full audit logging</w:t>
            </w:r>
          </w:p>
        </w:tc>
      </w:tr>
      <w:tr>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Suspicious Account Recovery</w:t>
            </w:r>
          </w:p>
        </w:tc>
        <w:tc>
          <w:tcPr>
            <w:tcW w:type="dxa" w:w="1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Implemented</w:t>
            </w:r>
          </w:p>
        </w:tc>
        <w:tc>
          <w:tcPr>
            <w:tcW w:type="dxa" w:w="4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Recovery Engine scores device mismatch, brute-force velocity, and weak recovery channels (SMS, security questions)</w:t>
            </w:r>
          </w:p>
        </w:tc>
      </w:tr>
      <w:tr>
        <w:tc>
          <w:tcPr>
            <w:tcW w:type="dxa" w:w="32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Privileged Access Misuse</w:t>
            </w:r>
          </w:p>
        </w:tc>
        <w:tc>
          <w:tcPr>
            <w:tcW w:type="dxa" w:w="18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Implemented</w:t>
            </w:r>
          </w:p>
        </w:tc>
        <w:tc>
          <w:tcPr>
            <w:tcW w:type="dxa" w:w="46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PAM Engine tracks configuration-override velocity and off-hours access, escalating to flag or block</w:t>
            </w:r>
          </w:p>
        </w:tc>
      </w:tr>
      <w:tr>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New Device Risk</w:t>
            </w:r>
          </w:p>
        </w:tc>
        <w:tc>
          <w:tcPr>
            <w:tcW w:type="dxa" w:w="1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Implemented</w:t>
            </w:r>
          </w:p>
        </w:tc>
        <w:tc>
          <w:tcPr>
            <w:tcW w:type="dxa" w:w="4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Fingerprint Engine hashes 7+ browser signals and applies a real-time penalty for any unrecognised device</w:t>
            </w:r>
          </w:p>
        </w:tc>
      </w:tr>
      <w:tr>
        <w:tc>
          <w:tcPr>
            <w:tcW w:type="dxa" w:w="32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Behavioural Anomalies</w:t>
            </w:r>
          </w:p>
        </w:tc>
        <w:tc>
          <w:tcPr>
            <w:tcW w:type="dxa" w:w="18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Implemented</w:t>
            </w:r>
          </w:p>
        </w:tc>
        <w:tc>
          <w:tcPr>
            <w:tcW w:type="dxa" w:w="46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Behaviour Engine paired with an IsolationForest ML model analyses keystroke rhythm, mouse movement, and typing speed</w:t>
            </w:r>
          </w:p>
        </w:tc>
      </w:tr>
    </w:tbl>
    <w:p>
      <w:pPr>
        <w:spacing w:after="200" w:before="100"/>
      </w:pPr>
      <w:r>
        <w:rPr>
          <w:i/>
          <w:iCs/>
          <w:color w:val="595959"/>
          <w:sz w:val="20"/>
          <w:szCs w:val="20"/>
        </w:rPr>
        <w:t xml:space="preserve">Closing line for this slide: "All seven risk categories named in the brief are not just discussed — they are implemented, with a dedicated engine behind each one."</w:t>
      </w:r>
    </w:p>
    <w:p>
      <w:r>
        <w:br w:type="page"/>
      </w:r>
    </w:p>
    <w:p>
      <w:pPr>
        <w:pStyle w:val="Heading1"/>
        <w:spacing w:after="160" w:before="400"/>
      </w:pPr>
      <w:r>
        <w:rPr>
          <w:b/>
          <w:bCs/>
          <w:color w:val="1F4E79"/>
          <w:sz w:val="30"/>
          <w:szCs w:val="30"/>
        </w:rPr>
        <w:t xml:space="preserve">Slide 1 — Title Slide</w:t>
      </w:r>
    </w:p>
    <w:p>
      <w:pPr>
        <w:spacing w:after="40" w:before="120"/>
      </w:pPr>
      <w:r>
        <w:rPr>
          <w:b/>
          <w:bCs/>
          <w:i/>
          <w:iCs/>
          <w:color w:val="595959"/>
          <w:sz w:val="20"/>
          <w:szCs w:val="20"/>
        </w:rPr>
        <w:t xml:space="preserve">On-slide content (keep to exactly this):</w:t>
      </w:r>
    </w:p>
    <w:p>
      <w:pPr>
        <w:spacing w:after="140" w:line="300"/>
      </w:pPr>
      <w:r>
        <w:rPr>
          <w:b/>
          <w:bCs/>
          <w:sz w:val="26"/>
          <w:szCs w:val="26"/>
        </w:rPr>
        <w:t xml:space="preserve">TrustSphere AI</w:t>
      </w:r>
    </w:p>
    <w:p>
      <w:pPr>
        <w:spacing w:after="140" w:line="300"/>
      </w:pPr>
      <w:r>
        <w:rPr>
          <w:sz w:val="22"/>
          <w:szCs w:val="22"/>
        </w:rPr>
        <w:t xml:space="preserve">A Privacy-First, Risk-Based Identity Trust Platform for Real-Time Banking Security</w:t>
      </w:r>
    </w:p>
    <w:p>
      <w:pPr>
        <w:spacing w:after="140" w:line="300"/>
      </w:pPr>
      <w:r>
        <w:rPr>
          <w:i/>
          <w:iCs/>
          <w:sz w:val="22"/>
          <w:szCs w:val="22"/>
        </w:rPr>
        <w:t xml:space="preserve">“Don’t just verify who logs in — continuously validate who’s staying in.”</w:t>
      </w:r>
    </w:p>
    <w:p>
      <w:pPr>
        <w:spacing w:after="140" w:line="300"/>
      </w:pPr>
      <w:r>
        <w:rPr>
          <w:sz w:val="22"/>
          <w:szCs w:val="22"/>
        </w:rPr>
        <w:t xml:space="preserve">Bank of Baroda Hackathon 2026  |  Identity Trust, Protection &amp; Safety  |  Cybersecurity &amp; Fraud Prevention</w:t>
      </w:r>
    </w:p>
    <w:p>
      <w:pPr>
        <w:spacing w:after="40" w:before="120"/>
      </w:pPr>
      <w:r>
        <w:rPr>
          <w:b/>
          <w:bCs/>
          <w:i/>
          <w:iCs/>
          <w:color w:val="595959"/>
          <w:sz w:val="20"/>
          <w:szCs w:val="20"/>
        </w:rPr>
        <w:t xml:space="preserve">Narration (10 seconds):</w:t>
      </w:r>
    </w:p>
    <w:p>
      <w:pPr>
        <w:spacing w:after="140" w:line="300"/>
      </w:pPr>
      <w:r>
        <w:rPr>
          <w:sz w:val="22"/>
          <w:szCs w:val="22"/>
        </w:rPr>
        <w:t xml:space="preserve">“Good [morning/afternoon] — we're presenting TrustSphere AI, a real-time identity trust platform built for banking security. Our core idea is simple: authentication shouldn't stop at login. We continuously validate that the person staying in your session is still who they say they are.”</w:t>
      </w:r>
    </w:p>
    <w:p>
      <w:pPr>
        <w:spacing w:after="40" w:before="120"/>
      </w:pPr>
      <w:r>
        <w:rPr>
          <w:b/>
          <w:bCs/>
          <w:i/>
          <w:iCs/>
          <w:color w:val="595959"/>
          <w:sz w:val="20"/>
          <w:szCs w:val="20"/>
        </w:rPr>
        <w:t xml:space="preserve">Suggested visual:</w:t>
      </w:r>
    </w:p>
    <w:p>
      <w:pPr>
        <w:spacing w:after="140" w:line="300"/>
      </w:pPr>
      <w:r>
        <w:rPr>
          <w:sz w:val="22"/>
          <w:szCs w:val="22"/>
        </w:rPr>
        <w:t xml:space="preserve">Dark glassmorphism background with a glowing 0–100 trust-score gauge and a subtle animated shield icon behind the title text. Keep the slide almost entirely visual — the words above are the only text that should appear.</w:t>
      </w:r>
    </w:p>
    <w:p>
      <w:pPr>
        <w:pStyle w:val="Heading1"/>
        <w:spacing w:after="160" w:before="400"/>
      </w:pPr>
      <w:r>
        <w:rPr>
          <w:b/>
          <w:bCs/>
          <w:color w:val="1F4E79"/>
          <w:sz w:val="30"/>
          <w:szCs w:val="30"/>
        </w:rPr>
        <w:t xml:space="preserve">Slide 2 — The Problem Statement</w:t>
      </w:r>
    </w:p>
    <w:p>
      <w:pPr>
        <w:spacing w:after="40" w:before="120"/>
      </w:pPr>
      <w:r>
        <w:rPr>
          <w:b/>
          <w:bCs/>
          <w:i/>
          <w:iCs/>
          <w:color w:val="595959"/>
          <w:sz w:val="20"/>
          <w:szCs w:val="20"/>
        </w:rPr>
        <w:t xml:space="preserve">On-slide content:</w:t>
      </w:r>
    </w:p>
    <w:p>
      <w:pPr>
        <w:spacing w:after="140" w:line="300"/>
      </w:pPr>
      <w:r>
        <w:rPr>
          <w:b/>
          <w:bCs/>
          <w:sz w:val="22"/>
          <w:szCs w:val="22"/>
        </w:rPr>
        <w:t xml:space="preserve">Headline: Authentication Stops at the Door. Fraud Doesn’t.</w:t>
      </w:r>
    </w:p>
    <w:p>
      <w:pPr>
        <w:spacing w:after="140" w:line="300"/>
      </w:pPr>
      <w:r>
        <w:rPr>
          <w:sz w:val="22"/>
          <w:szCs w:val="22"/>
        </w:rPr>
        <w:t xml:space="preserve">Traditional banking security relies on a single check — a password and an OTP at login. Once that gate is passed, most systems stop watching. That single-point model is no longer enough in 2026.</w:t>
      </w:r>
    </w:p>
    <w:p>
      <w:pPr>
        <w:pStyle w:val="Heading2"/>
        <w:spacing w:after="100" w:before="240"/>
      </w:pPr>
      <w:r>
        <w:rPr>
          <w:b/>
          <w:bCs/>
          <w:color w:val="2E75B6"/>
          <w:sz w:val="24"/>
          <w:szCs w:val="24"/>
        </w:rPr>
        <w:t xml:space="preserve">The threats it leaves open</w:t>
      </w:r>
    </w:p>
    <w:p>
      <w:pPr>
        <w:pStyle w:val="ListParagraph"/>
        <w:numPr>
          <w:ilvl w:val="0"/>
          <w:numId w:val="2"/>
        </w:numPr>
        <w:spacing w:after="80" w:line="280"/>
      </w:pPr>
      <w:r>
        <w:rPr>
          <w:sz w:val="22"/>
          <w:szCs w:val="22"/>
        </w:rPr>
        <w:t xml:space="preserve">Account Takeover — stolen credentials reused from unfamiliar devices or locations</w:t>
      </w:r>
    </w:p>
    <w:p>
      <w:pPr>
        <w:pStyle w:val="ListParagraph"/>
        <w:numPr>
          <w:ilvl w:val="0"/>
          <w:numId w:val="2"/>
        </w:numPr>
        <w:spacing w:after="80" w:line="280"/>
      </w:pPr>
      <w:r>
        <w:rPr>
          <w:sz w:val="22"/>
          <w:szCs w:val="22"/>
        </w:rPr>
        <w:t xml:space="preserve">KYC and onboarding fraud — synthetic identities, burner emails, and bot-driven signups</w:t>
      </w:r>
    </w:p>
    <w:p>
      <w:pPr>
        <w:pStyle w:val="ListParagraph"/>
        <w:numPr>
          <w:ilvl w:val="0"/>
          <w:numId w:val="2"/>
        </w:numPr>
        <w:spacing w:after="80" w:line="280"/>
      </w:pPr>
      <w:r>
        <w:rPr>
          <w:sz w:val="22"/>
          <w:szCs w:val="22"/>
        </w:rPr>
        <w:t xml:space="preserve">Insider misuse — admins and analysts quietly overstepping their access</w:t>
      </w:r>
    </w:p>
    <w:p>
      <w:pPr>
        <w:pStyle w:val="ListParagraph"/>
        <w:numPr>
          <w:ilvl w:val="0"/>
          <w:numId w:val="2"/>
        </w:numPr>
        <w:spacing w:after="80" w:line="280"/>
      </w:pPr>
      <w:r>
        <w:rPr>
          <w:sz w:val="22"/>
          <w:szCs w:val="22"/>
        </w:rPr>
        <w:t xml:space="preserve">Account recovery fraud — SIM-swap and social engineering used to reset credentials</w:t>
      </w:r>
    </w:p>
    <w:p>
      <w:pPr>
        <w:pStyle w:val="ListParagraph"/>
        <w:numPr>
          <w:ilvl w:val="0"/>
          <w:numId w:val="2"/>
        </w:numPr>
        <w:spacing w:after="80" w:line="280"/>
      </w:pPr>
      <w:r>
        <w:rPr>
          <w:sz w:val="22"/>
          <w:szCs w:val="22"/>
        </w:rPr>
        <w:t xml:space="preserve">Session hijacking — cookie theft and man-in-the-browser attacks mid-session</w:t>
      </w:r>
    </w:p>
    <w:p>
      <w:pPr>
        <w:pStyle w:val="ListParagraph"/>
        <w:numPr>
          <w:ilvl w:val="0"/>
          <w:numId w:val="2"/>
        </w:numPr>
        <w:spacing w:after="80" w:line="280"/>
      </w:pPr>
      <w:r>
        <w:rPr>
          <w:sz w:val="22"/>
          <w:szCs w:val="22"/>
        </w:rPr>
        <w:t xml:space="preserve">Credential stuffing — high-speed automated login attempts at scale</w:t>
      </w:r>
    </w:p>
    <w:p>
      <w:pPr>
        <w:pStyle w:val="Heading2"/>
        <w:spacing w:after="100" w:before="240"/>
      </w:pPr>
      <w:r>
        <w:rPr>
          <w:b/>
          <w:bCs/>
          <w:color w:val="2E75B6"/>
          <w:sz w:val="24"/>
          <w:szCs w:val="24"/>
        </w:rPr>
        <w:t xml:space="preserve">The real gap</w:t>
      </w:r>
    </w:p>
    <w:p>
      <w:pPr>
        <w:pStyle w:val="ListParagraph"/>
        <w:numPr>
          <w:ilvl w:val="0"/>
          <w:numId w:val="2"/>
        </w:numPr>
        <w:spacing w:after="80" w:line="280"/>
      </w:pPr>
      <w:r>
        <w:rPr>
          <w:sz w:val="22"/>
          <w:szCs w:val="22"/>
        </w:rPr>
        <w:t xml:space="preserve">Identity is checked once, then trusted indefinitely</w:t>
      </w:r>
    </w:p>
    <w:p>
      <w:pPr>
        <w:pStyle w:val="ListParagraph"/>
        <w:numPr>
          <w:ilvl w:val="0"/>
          <w:numId w:val="2"/>
        </w:numPr>
        <w:spacing w:after="80" w:line="280"/>
      </w:pPr>
      <w:r>
        <w:rPr>
          <w:sz w:val="22"/>
          <w:szCs w:val="22"/>
        </w:rPr>
        <w:t xml:space="preserve">MFA is applied uniformly, creating friction even for genuinely safe logins</w:t>
      </w:r>
    </w:p>
    <w:p>
      <w:pPr>
        <w:pStyle w:val="ListParagraph"/>
        <w:numPr>
          <w:ilvl w:val="0"/>
          <w:numId w:val="2"/>
        </w:numPr>
        <w:spacing w:after="80" w:line="280"/>
      </w:pPr>
      <w:r>
        <w:rPr>
          <w:sz w:val="22"/>
          <w:szCs w:val="22"/>
        </w:rPr>
        <w:t xml:space="preserve">Nothing in the system adapts as risk actually changes</w:t>
      </w:r>
    </w:p>
    <w:p>
      <w:pPr>
        <w:spacing w:after="40" w:before="120"/>
      </w:pPr>
      <w:r>
        <w:rPr>
          <w:b/>
          <w:bCs/>
          <w:i/>
          <w:iCs/>
          <w:color w:val="595959"/>
          <w:sz w:val="20"/>
          <w:szCs w:val="20"/>
        </w:rPr>
        <w:t xml:space="preserve">Narration:</w:t>
      </w:r>
    </w:p>
    <w:p>
      <w:pPr>
        <w:spacing w:after="140" w:line="300"/>
      </w:pPr>
      <w:r>
        <w:rPr>
          <w:sz w:val="22"/>
          <w:szCs w:val="22"/>
        </w:rPr>
        <w:t xml:space="preserve">“Banks today check who you are once, at the door, and then stop watching. That single check can't catch a hijacked session, an insider quietly misusing access, or a fraud ring that got through onboarding. The result is a system that's both under-protected against real threats and over-friction for genuine customers.”</w:t>
      </w:r>
    </w:p>
    <w:p>
      <w:pPr>
        <w:spacing w:after="200" w:before="100"/>
      </w:pPr>
      <w:r>
        <w:rPr>
          <w:i/>
          <w:iCs/>
          <w:color w:val="595959"/>
          <w:sz w:val="20"/>
          <w:szCs w:val="20"/>
        </w:rPr>
        <w:t xml:space="preserve">Layout tip: put the six threats in a compact 2-column, 3-row grid rather than a bulleted list, so the slide reads as a landscape rather than a wall of text.</w:t>
      </w:r>
    </w:p>
    <w:p>
      <w:pPr>
        <w:pStyle w:val="Heading1"/>
        <w:spacing w:after="160" w:before="400"/>
      </w:pPr>
      <w:r>
        <w:rPr>
          <w:b/>
          <w:bCs/>
          <w:color w:val="1F4E79"/>
          <w:sz w:val="30"/>
          <w:szCs w:val="30"/>
        </w:rPr>
        <w:t xml:space="preserve">Slide 3 — Our Solution: TrustSphere AI</w:t>
      </w:r>
    </w:p>
    <w:p>
      <w:pPr>
        <w:spacing w:after="40" w:before="120"/>
      </w:pPr>
      <w:r>
        <w:rPr>
          <w:b/>
          <w:bCs/>
          <w:i/>
          <w:iCs/>
          <w:color w:val="595959"/>
          <w:sz w:val="20"/>
          <w:szCs w:val="20"/>
        </w:rPr>
        <w:t xml:space="preserve">On-slide content:</w:t>
      </w:r>
    </w:p>
    <w:p>
      <w:pPr>
        <w:spacing w:after="140" w:line="300"/>
      </w:pPr>
      <w:r>
        <w:rPr>
          <w:b/>
          <w:bCs/>
          <w:sz w:val="22"/>
          <w:szCs w:val="22"/>
        </w:rPr>
        <w:t xml:space="preserve">Headline: One Continuous Trust Score. Not a One-Time Password.</w:t>
      </w:r>
    </w:p>
    <w:p>
      <w:pPr>
        <w:pStyle w:val="ListParagraph"/>
        <w:numPr>
          <w:ilvl w:val="0"/>
          <w:numId w:val="2"/>
        </w:numPr>
        <w:spacing w:after="80" w:line="280"/>
      </w:pPr>
      <w:r>
        <w:rPr>
          <w:b/>
          <w:bCs/>
          <w:sz w:val="22"/>
          <w:szCs w:val="22"/>
        </w:rPr>
        <w:t xml:space="preserve">Always-on evaluation — </w:t>
      </w:r>
      <w:r>
        <w:rPr>
          <w:sz w:val="22"/>
          <w:szCs w:val="22"/>
        </w:rPr>
        <w:t xml:space="preserve">a live Trust Score (0–100) is calculated across every interaction, not just at login.</w:t>
      </w:r>
    </w:p>
    <w:p>
      <w:pPr>
        <w:pStyle w:val="ListParagraph"/>
        <w:numPr>
          <w:ilvl w:val="0"/>
          <w:numId w:val="2"/>
        </w:numPr>
        <w:spacing w:after="80" w:line="280"/>
      </w:pPr>
      <w:r>
        <w:rPr>
          <w:b/>
          <w:bCs/>
          <w:sz w:val="22"/>
          <w:szCs w:val="22"/>
        </w:rPr>
        <w:t xml:space="preserve">Three signals, one decision — </w:t>
      </w:r>
      <w:r>
        <w:rPr>
          <w:sz w:val="22"/>
          <w:szCs w:val="22"/>
        </w:rPr>
        <w:t xml:space="preserve">Device, Behaviour, and Network intelligence are fused into a single explainable score.</w:t>
      </w:r>
    </w:p>
    <w:p>
      <w:pPr>
        <w:pStyle w:val="ListParagraph"/>
        <w:numPr>
          <w:ilvl w:val="0"/>
          <w:numId w:val="2"/>
        </w:numPr>
        <w:spacing w:after="80" w:line="280"/>
      </w:pPr>
      <w:r>
        <w:rPr>
          <w:b/>
          <w:bCs/>
          <w:sz w:val="22"/>
          <w:szCs w:val="22"/>
        </w:rPr>
        <w:t xml:space="preserve">Friction only when needed — </w:t>
      </w:r>
      <w:r>
        <w:rPr>
          <w:sz w:val="22"/>
          <w:szCs w:val="22"/>
        </w:rPr>
        <w:t xml:space="preserve">step-up authentication (OTP) is triggered automatically, and only when risk actually justifies it.</w:t>
      </w:r>
    </w:p>
    <w:p>
      <w:pPr>
        <w:pStyle w:val="ListParagraph"/>
        <w:numPr>
          <w:ilvl w:val="0"/>
          <w:numId w:val="2"/>
        </w:numPr>
        <w:spacing w:after="80" w:line="280"/>
      </w:pPr>
      <w:r>
        <w:rPr>
          <w:b/>
          <w:bCs/>
          <w:sz w:val="22"/>
          <w:szCs w:val="22"/>
        </w:rPr>
        <w:t xml:space="preserve">Fraud-ring mapping — </w:t>
      </w:r>
      <w:r>
        <w:rPr>
          <w:sz w:val="22"/>
          <w:szCs w:val="22"/>
        </w:rPr>
        <w:t xml:space="preserve">a live graph database (Neo4j) exposes organised fraud networks that relational databases miss.</w:t>
      </w:r>
    </w:p>
    <w:p>
      <w:pPr>
        <w:pStyle w:val="ListParagraph"/>
        <w:numPr>
          <w:ilvl w:val="0"/>
          <w:numId w:val="2"/>
        </w:numPr>
        <w:spacing w:after="80" w:line="280"/>
      </w:pPr>
      <w:r>
        <w:rPr>
          <w:b/>
          <w:bCs/>
          <w:sz w:val="22"/>
          <w:szCs w:val="22"/>
        </w:rPr>
        <w:t xml:space="preserve">Insider protection built in — </w:t>
      </w:r>
      <w:r>
        <w:rPr>
          <w:sz w:val="22"/>
          <w:szCs w:val="22"/>
        </w:rPr>
        <w:t xml:space="preserve">a dedicated engine watches privileged users such as admins and analysts.</w:t>
      </w:r>
    </w:p>
    <w:p>
      <w:pPr>
        <w:pStyle w:val="Heading2"/>
        <w:spacing w:after="100" w:before="240"/>
      </w:pPr>
      <w:r>
        <w:rPr>
          <w:b/>
          <w:bCs/>
          <w:color w:val="2E75B6"/>
          <w:sz w:val="24"/>
          <w:szCs w:val="24"/>
        </w:rPr>
        <w:t xml:space="preserve">Decision outcomes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4E79" w:color="auto" w:val="clear"/>
            <w:tcMar>
              <w:top w:type="dxa" w:w="80"/>
              <w:left w:type="dxa" w:w="100"/>
              <w:bottom w:type="dxa" w:w="80"/>
              <w:right w:type="dxa" w:w="100"/>
            </w:tcMar>
            <w:vAlign w:val="center"/>
          </w:tcPr>
          <w:p>
            <w:pPr>
              <w:jc w:val="left"/>
            </w:pPr>
            <w:r>
              <w:rPr>
                <w:b/>
                <w:bCs/>
                <w:color w:val="FFFFFF"/>
                <w:sz w:val="20"/>
                <w:szCs w:val="20"/>
              </w:rPr>
              <w:t xml:space="preserve">Trust Score</w:t>
            </w:r>
          </w:p>
        </w:tc>
        <w:tc>
          <w:tcPr>
            <w:tcW w:type="dxa" w:w="6600"/>
            <w:shd w:fill="1F4E79" w:color="auto" w:val="clear"/>
            <w:tcMar>
              <w:top w:type="dxa" w:w="80"/>
              <w:left w:type="dxa" w:w="100"/>
              <w:bottom w:type="dxa" w:w="80"/>
              <w:right w:type="dxa" w:w="100"/>
            </w:tcMar>
            <w:vAlign w:val="center"/>
          </w:tcPr>
          <w:p>
            <w:pPr>
              <w:jc w:val="left"/>
            </w:pPr>
            <w:r>
              <w:rPr>
                <w:b/>
                <w:bCs/>
                <w:color w:val="FFFFFF"/>
                <w:sz w:val="20"/>
                <w:szCs w:val="20"/>
              </w:rPr>
              <w:t xml:space="preserve">Action</w:t>
            </w:r>
          </w:p>
        </w:tc>
      </w:tr>
      <w:tr>
        <w:tc>
          <w:tcPr>
            <w:tcW w:type="dxa" w:w="30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80 and above</w:t>
            </w:r>
          </w:p>
        </w:tc>
        <w:tc>
          <w:tcPr>
            <w:tcW w:type="dxa" w:w="66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Allow — seamless access, no interruption</w:t>
            </w:r>
          </w:p>
        </w:tc>
      </w:tr>
      <w:tr>
        <w:tc>
          <w:tcPr>
            <w:tcW w:type="dxa" w:w="30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60 – 79</w:t>
            </w:r>
          </w:p>
        </w:tc>
        <w:tc>
          <w:tcPr>
            <w:tcW w:type="dxa" w:w="6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Step-up OTP required</w:t>
            </w:r>
          </w:p>
        </w:tc>
      </w:tr>
      <w:tr>
        <w:tc>
          <w:tcPr>
            <w:tcW w:type="dxa" w:w="30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40 – 59</w:t>
            </w:r>
          </w:p>
        </w:tc>
        <w:tc>
          <w:tcPr>
            <w:tcW w:type="dxa" w:w="66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Step-up OTP required (elevated risk)</w:t>
            </w:r>
          </w:p>
        </w:tc>
      </w:tr>
      <w:tr>
        <w:tc>
          <w:tcPr>
            <w:tcW w:type="dxa" w:w="30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Below 40</w:t>
            </w:r>
          </w:p>
        </w:tc>
        <w:tc>
          <w:tcPr>
            <w:tcW w:type="dxa" w:w="6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Block — access denied, session terminated</w:t>
            </w:r>
          </w:p>
        </w:tc>
      </w:tr>
    </w:tbl>
    <w:p>
      <w:pPr>
        <w:pStyle w:val="Heading2"/>
        <w:spacing w:after="100" w:before="240"/>
      </w:pPr>
      <w:r>
        <w:rPr>
          <w:b/>
          <w:bCs/>
          <w:color w:val="2E75B6"/>
          <w:sz w:val="24"/>
          <w:szCs w:val="24"/>
        </w:rPr>
        <w:t xml:space="preserve">Our privacy principle</w:t>
      </w:r>
    </w:p>
    <w:p>
      <w:pPr>
        <w:spacing w:after="140" w:line="300"/>
      </w:pPr>
      <w:r>
        <w:rPr>
          <w:i/>
          <w:iCs/>
          <w:sz w:val="22"/>
          <w:szCs w:val="22"/>
        </w:rPr>
        <w:t xml:space="preserve">“We never store what you typed — only how you typed it.” We process keystroke timing metadata alone: hold times and flight times. The actual characters a user types are never captured or stored.</w:t>
      </w:r>
    </w:p>
    <w:p>
      <w:pPr>
        <w:spacing w:after="40" w:before="120"/>
      </w:pPr>
      <w:r>
        <w:rPr>
          <w:b/>
          <w:bCs/>
          <w:i/>
          <w:iCs/>
          <w:color w:val="595959"/>
          <w:sz w:val="20"/>
          <w:szCs w:val="20"/>
        </w:rPr>
        <w:t xml:space="preserve">Narration:</w:t>
      </w:r>
    </w:p>
    <w:p>
      <w:pPr>
        <w:spacing w:after="140" w:line="300"/>
      </w:pPr>
      <w:r>
        <w:rPr>
          <w:sz w:val="22"/>
          <w:szCs w:val="22"/>
        </w:rPr>
        <w:t xml:space="preserve">“TrustSphere replaces that single password gate with a live trust score that keeps evaluating you throughout your session. It's built from three signals — your device, your behaviour, and the network you're connecting from — and it only asks for extra verification when the score actually drops. And it does all of this without ever storing what you type, only the rhythm of how you type it.”</w:t>
      </w:r>
    </w:p>
    <w:p>
      <w:pPr>
        <w:pStyle w:val="Heading1"/>
        <w:spacing w:after="160" w:before="400"/>
      </w:pPr>
      <w:r>
        <w:rPr>
          <w:b/>
          <w:bCs/>
          <w:color w:val="1F4E79"/>
          <w:sz w:val="30"/>
          <w:szCs w:val="30"/>
        </w:rPr>
        <w:t xml:space="preserve">Slide 4 — System Architecture</w:t>
      </w:r>
    </w:p>
    <w:p>
      <w:pPr>
        <w:spacing w:after="40" w:before="120"/>
      </w:pPr>
      <w:r>
        <w:rPr>
          <w:b/>
          <w:bCs/>
          <w:i/>
          <w:iCs/>
          <w:color w:val="595959"/>
          <w:sz w:val="20"/>
          <w:szCs w:val="20"/>
        </w:rPr>
        <w:t xml:space="preserve">On-slide content:</w:t>
      </w:r>
    </w:p>
    <w:p>
      <w:pPr>
        <w:spacing w:after="140" w:line="300"/>
      </w:pPr>
      <w:r>
        <w:rPr>
          <w:b/>
          <w:bCs/>
          <w:sz w:val="22"/>
          <w:szCs w:val="22"/>
        </w:rPr>
        <w:t xml:space="preserve">Headline: A Layered, Async-First Architecture Built to Never Block the User</w:t>
      </w:r>
    </w:p>
    <w:p>
      <w:pPr>
        <w:spacing w:after="140" w:line="300"/>
      </w:pPr>
      <w:r>
        <w:rPr>
          <w:sz w:val="22"/>
          <w:szCs w:val="22"/>
        </w:rPr>
        <w:t xml:space="preserve">This slide is diagram-led. The hero visual is the architecture diagram (Client Layer → FastAPI Backend → Intelligence Engines → ML Layer → Data Layer). Reproduce the full architecture diagram supplied in your build as the centrepiece, and keep on-slide text to the four callouts below.</w:t>
      </w:r>
    </w:p>
    <w:p>
      <w:pPr>
        <w:pStyle w:val="Heading2"/>
        <w:spacing w:after="100" w:before="240"/>
      </w:pPr>
      <w:r>
        <w:rPr>
          <w:b/>
          <w:bCs/>
          <w:color w:val="2E75B6"/>
          <w:sz w:val="24"/>
          <w:szCs w:val="24"/>
        </w:rPr>
        <w:t xml:space="preserve">Four callouts beside the diagram</w:t>
      </w:r>
    </w:p>
    <w:p>
      <w:pPr>
        <w:pStyle w:val="ListParagraph"/>
        <w:numPr>
          <w:ilvl w:val="0"/>
          <w:numId w:val="2"/>
        </w:numPr>
        <w:spacing w:after="80" w:line="280"/>
      </w:pPr>
      <w:r>
        <w:rPr>
          <w:sz w:val="22"/>
          <w:szCs w:val="22"/>
        </w:rPr>
        <w:t xml:space="preserve">Async-first — every network and database call in FastAPI is non-blocking, keeping throughput high under load</w:t>
      </w:r>
    </w:p>
    <w:p>
      <w:pPr>
        <w:pStyle w:val="ListParagraph"/>
        <w:numPr>
          <w:ilvl w:val="0"/>
          <w:numId w:val="2"/>
        </w:numPr>
        <w:spacing w:after="80" w:line="280"/>
      </w:pPr>
      <w:r>
        <w:rPr>
          <w:sz w:val="22"/>
          <w:szCs w:val="22"/>
        </w:rPr>
        <w:t xml:space="preserve">LRU cache — known-device lookups are served from memory, skipping the database round-trip entirely</w:t>
      </w:r>
    </w:p>
    <w:p>
      <w:pPr>
        <w:pStyle w:val="ListParagraph"/>
        <w:numPr>
          <w:ilvl w:val="0"/>
          <w:numId w:val="2"/>
        </w:numPr>
        <w:spacing w:after="80" w:line="280"/>
      </w:pPr>
      <w:r>
        <w:rPr>
          <w:sz w:val="22"/>
          <w:szCs w:val="22"/>
        </w:rPr>
        <w:t xml:space="preserve">Decoupled engines — each intelligence engine is independently testable and independently configurable</w:t>
      </w:r>
    </w:p>
    <w:p>
      <w:pPr>
        <w:pStyle w:val="ListParagraph"/>
        <w:numPr>
          <w:ilvl w:val="0"/>
          <w:numId w:val="2"/>
        </w:numPr>
        <w:spacing w:after="80" w:line="280"/>
      </w:pPr>
      <w:r>
        <w:rPr>
          <w:sz w:val="22"/>
          <w:szCs w:val="22"/>
        </w:rPr>
        <w:t xml:space="preserve">Background tasks — heavy Neo4j graph updates run asynchronously and never delay the authentication response</w:t>
      </w:r>
    </w:p>
    <w:p>
      <w:pPr>
        <w:spacing w:after="40" w:before="120"/>
      </w:pPr>
      <w:r>
        <w:rPr>
          <w:b/>
          <w:bCs/>
          <w:i/>
          <w:iCs/>
          <w:color w:val="595959"/>
          <w:sz w:val="20"/>
          <w:szCs w:val="20"/>
        </w:rPr>
        <w:t xml:space="preserve">Narration:</w:t>
      </w:r>
    </w:p>
    <w:p>
      <w:pPr>
        <w:spacing w:after="140" w:line="300"/>
      </w:pPr>
      <w:r>
        <w:rPr>
          <w:sz w:val="22"/>
          <w:szCs w:val="22"/>
        </w:rPr>
        <w:t xml:space="preserve">“On the client side, we silently collect device and behavioural signals. These flow into a FastAPI backend that fans out to seven intelligence engines in parallel, backed by an ML layer and two databases — Supabase for relational data and Neo4j for fraud-ring graphs. Every design decision here was made for speed: async execution, in-memory caching, and background processing so the user never feels the system thinking.”</w:t>
      </w:r>
    </w:p>
    <w:p>
      <w:pPr>
        <w:spacing w:after="200" w:before="100"/>
      </w:pPr>
      <w:r>
        <w:rPr>
          <w:i/>
          <w:iCs/>
          <w:color w:val="595959"/>
          <w:sz w:val="20"/>
          <w:szCs w:val="20"/>
        </w:rPr>
        <w:t xml:space="preserve">Layout tip: this is one of the slides where the diagram should occupy roughly 70% of the slide area — resist the urge to add more text around it.</w:t>
      </w:r>
    </w:p>
    <w:p>
      <w:pPr>
        <w:pStyle w:val="Heading1"/>
        <w:spacing w:after="160" w:before="400"/>
      </w:pPr>
      <w:r>
        <w:rPr>
          <w:b/>
          <w:bCs/>
          <w:color w:val="1F4E79"/>
          <w:sz w:val="30"/>
          <w:szCs w:val="30"/>
        </w:rPr>
        <w:t xml:space="preserve">Slide 5 — The Seven Intelligence Engines</w:t>
      </w:r>
    </w:p>
    <w:p>
      <w:pPr>
        <w:spacing w:after="40" w:before="120"/>
      </w:pPr>
      <w:r>
        <w:rPr>
          <w:b/>
          <w:bCs/>
          <w:i/>
          <w:iCs/>
          <w:color w:val="595959"/>
          <w:sz w:val="20"/>
          <w:szCs w:val="20"/>
        </w:rPr>
        <w:t xml:space="preserve">Recommended split: this is a lot of ground to cover — present it as two slides (5A and 5B) of 3–4 engines each, not one crowded slide.</w:t>
      </w:r>
    </w:p>
    <w:p>
      <w:pPr>
        <w:pStyle w:val="Heading2"/>
        <w:spacing w:after="100" w:before="240"/>
      </w:pPr>
      <w:r>
        <w:rPr>
          <w:b/>
          <w:bCs/>
          <w:color w:val="2E75B6"/>
          <w:sz w:val="24"/>
          <w:szCs w:val="24"/>
        </w:rPr>
        <w:t xml:space="preserve">Slide 5A — Engines 1 to 4</w:t>
      </w:r>
    </w:p>
    <w:p>
      <w:pPr>
        <w:pStyle w:val="ListParagraph"/>
        <w:numPr>
          <w:ilvl w:val="0"/>
          <w:numId w:val="2"/>
        </w:numPr>
        <w:spacing w:after="80" w:line="280"/>
      </w:pPr>
      <w:r>
        <w:rPr>
          <w:b/>
          <w:bCs/>
          <w:sz w:val="22"/>
          <w:szCs w:val="22"/>
        </w:rPr>
        <w:t xml:space="preserve">1. Device Fingerprint Engine — </w:t>
      </w:r>
      <w:r>
        <w:rPr>
          <w:sz w:val="22"/>
          <w:szCs w:val="22"/>
        </w:rPr>
        <w:t xml:space="preserve">hashes seven-plus browser signals (user agent, timezone, screen resolution, language, platform, colour depth, touch points), detects headless browsers such as Puppeteer and Selenium, and applies a real-time penalty for any new or unrecognised device.</w:t>
      </w:r>
    </w:p>
    <w:p>
      <w:pPr>
        <w:pStyle w:val="ListParagraph"/>
        <w:numPr>
          <w:ilvl w:val="0"/>
          <w:numId w:val="2"/>
        </w:numPr>
        <w:spacing w:after="80" w:line="280"/>
      </w:pPr>
      <w:r>
        <w:rPr>
          <w:b/>
          <w:bCs/>
          <w:sz w:val="22"/>
          <w:szCs w:val="22"/>
        </w:rPr>
        <w:t xml:space="preserve">2. Behavioural Biometrics Engine — </w:t>
      </w:r>
      <w:r>
        <w:rPr>
          <w:sz w:val="22"/>
          <w:szCs w:val="22"/>
        </w:rPr>
        <w:t xml:space="preserve">reads keystroke hold and flight times, typing speed, and mouse movement, combines rule-based bot checks with a trained IsolationForest ML model, and produces a human-readable explanation for every decision — never storing the actual keys typed.</w:t>
      </w:r>
    </w:p>
    <w:p>
      <w:pPr>
        <w:pStyle w:val="ListParagraph"/>
        <w:numPr>
          <w:ilvl w:val="0"/>
          <w:numId w:val="2"/>
        </w:numPr>
        <w:spacing w:after="80" w:line="280"/>
      </w:pPr>
      <w:r>
        <w:rPr>
          <w:b/>
          <w:bCs/>
          <w:sz w:val="22"/>
          <w:szCs w:val="22"/>
        </w:rPr>
        <w:t xml:space="preserve">3. Network Intelligence Engine — </w:t>
      </w:r>
      <w:r>
        <w:rPr>
          <w:sz w:val="22"/>
          <w:szCs w:val="22"/>
        </w:rPr>
        <w:t xml:space="preserve">checks IP reputation against a flagged-IP list, detects TOR exit nodes, and applies an impossible-travel check using the Haversine distance formula to catch logins that couldn't physically have happened.</w:t>
      </w:r>
    </w:p>
    <w:p>
      <w:pPr>
        <w:pStyle w:val="ListParagraph"/>
        <w:numPr>
          <w:ilvl w:val="0"/>
          <w:numId w:val="2"/>
        </w:numPr>
        <w:spacing w:after="80" w:line="280"/>
      </w:pPr>
      <w:r>
        <w:rPr>
          <w:b/>
          <w:bCs/>
          <w:sz w:val="22"/>
          <w:szCs w:val="22"/>
        </w:rPr>
        <w:t xml:space="preserve">4. Scoring Engine — </w:t>
      </w:r>
      <w:r>
        <w:rPr>
          <w:sz w:val="22"/>
          <w:szCs w:val="22"/>
        </w:rPr>
        <w:t xml:space="preserve">the decision-making core of the platform; combines device, behaviour, and network scores using configurable weights (40% / 35% / 25%) and configurable thresholds to output a final trust score, risk level, and required action.</w:t>
      </w:r>
    </w:p>
    <w:p>
      <w:pPr>
        <w:pStyle w:val="Heading2"/>
        <w:spacing w:after="100" w:before="240"/>
      </w:pPr>
      <w:r>
        <w:rPr>
          <w:b/>
          <w:bCs/>
          <w:color w:val="2E75B6"/>
          <w:sz w:val="24"/>
          <w:szCs w:val="24"/>
        </w:rPr>
        <w:t xml:space="preserve">Slide 5B — Engines 5 to 7</w:t>
      </w:r>
    </w:p>
    <w:p>
      <w:pPr>
        <w:pStyle w:val="ListParagraph"/>
        <w:numPr>
          <w:ilvl w:val="0"/>
          <w:numId w:val="2"/>
        </w:numPr>
        <w:spacing w:after="80" w:line="280"/>
      </w:pPr>
      <w:r>
        <w:rPr>
          <w:b/>
          <w:bCs/>
          <w:sz w:val="22"/>
          <w:szCs w:val="22"/>
        </w:rPr>
        <w:t xml:space="preserve">5. Onboarding / KYC Engine — </w:t>
      </w:r>
      <w:r>
        <w:rPr>
          <w:sz w:val="22"/>
          <w:szCs w:val="22"/>
        </w:rPr>
        <w:t xml:space="preserve">blocks disposable email domains, flags synthetic or sequential identity numbers, rate-limits signups per device and IP, and detects bot-like signup behaviour such as paste-only input.</w:t>
      </w:r>
    </w:p>
    <w:p>
      <w:pPr>
        <w:pStyle w:val="ListParagraph"/>
        <w:numPr>
          <w:ilvl w:val="0"/>
          <w:numId w:val="2"/>
        </w:numPr>
        <w:spacing w:after="80" w:line="280"/>
      </w:pPr>
      <w:r>
        <w:rPr>
          <w:b/>
          <w:bCs/>
          <w:sz w:val="22"/>
          <w:szCs w:val="22"/>
        </w:rPr>
        <w:t xml:space="preserve">6. Account Recovery Engine — </w:t>
      </w:r>
      <w:r>
        <w:rPr>
          <w:sz w:val="22"/>
          <w:szCs w:val="22"/>
        </w:rPr>
        <w:t xml:space="preserve">penalises recovery attempts from unrecognised devices, blocks brute-force recovery attempts, and scores weaker recovery channels such as SMS or security questions more cautiously.</w:t>
      </w:r>
    </w:p>
    <w:p>
      <w:pPr>
        <w:pStyle w:val="ListParagraph"/>
        <w:numPr>
          <w:ilvl w:val="0"/>
          <w:numId w:val="2"/>
        </w:numPr>
        <w:spacing w:after="80" w:line="280"/>
      </w:pPr>
      <w:r>
        <w:rPr>
          <w:b/>
          <w:bCs/>
          <w:sz w:val="22"/>
          <w:szCs w:val="22"/>
        </w:rPr>
        <w:t xml:space="preserve">7. Privileged Access (PAM) Engine — PrivGuard — </w:t>
      </w:r>
      <w:r>
        <w:rPr>
          <w:sz w:val="22"/>
          <w:szCs w:val="22"/>
        </w:rPr>
        <w:t xml:space="preserve">flags admin or analyst activity outside normal working hours, detects abnormal spikes in configuration changes or trust overrides, and keeps an immutable audit log of every privileged action.</w:t>
      </w:r>
    </w:p>
    <w:p>
      <w:pPr>
        <w:spacing w:after="40" w:before="120"/>
      </w:pPr>
      <w:r>
        <w:rPr>
          <w:b/>
          <w:bCs/>
          <w:i/>
          <w:iCs/>
          <w:color w:val="595959"/>
          <w:sz w:val="20"/>
          <w:szCs w:val="20"/>
        </w:rPr>
        <w:t xml:space="preserve">Narration (both slides combined):</w:t>
      </w:r>
    </w:p>
    <w:p>
      <w:pPr>
        <w:spacing w:after="140" w:line="300"/>
      </w:pPr>
      <w:r>
        <w:rPr>
          <w:sz w:val="22"/>
          <w:szCs w:val="22"/>
        </w:rPr>
        <w:t xml:space="preserve">“Each of the seven risk categories in the brief maps to a dedicated engine, not a shared generic rule set. That means each threat gets a purpose-built detector — a device engine for new-device risk, a behaviour engine backed by real machine learning for anomaly detection, a network engine for impossible travel, and so on, all feeding into one scoring engine that makes the final call.”</w:t>
      </w:r>
    </w:p>
    <w:p>
      <w:pPr>
        <w:pStyle w:val="Heading1"/>
        <w:spacing w:after="160" w:before="400"/>
      </w:pPr>
      <w:r>
        <w:rPr>
          <w:b/>
          <w:bCs/>
          <w:color w:val="1F4E79"/>
          <w:sz w:val="30"/>
          <w:szCs w:val="30"/>
        </w:rPr>
        <w:t xml:space="preserve">Slide 6 — Data Flow: A Login, Step by Step</w:t>
      </w:r>
    </w:p>
    <w:p>
      <w:pPr>
        <w:spacing w:after="40" w:before="120"/>
      </w:pPr>
      <w:r>
        <w:rPr>
          <w:b/>
          <w:bCs/>
          <w:i/>
          <w:iCs/>
          <w:color w:val="595959"/>
          <w:sz w:val="20"/>
          <w:szCs w:val="20"/>
        </w:rPr>
        <w:t xml:space="preserve">On-slide content:</w:t>
      </w:r>
    </w:p>
    <w:p>
      <w:pPr>
        <w:spacing w:after="140" w:line="300"/>
      </w:pPr>
      <w:r>
        <w:rPr>
          <w:b w:val="false"/>
          <w:bCs w:val="false"/>
          <w:sz w:val="22"/>
          <w:szCs w:val="22"/>
        </w:rPr>
        <w:t xml:space="preserve">This slide is diagram-led — reproduce the sequence diagram (Customer → Frontend → Backend → Device/Behaviour/Network Engines → Scoring Engine → Decision) as the hero visual.</w:t>
      </w:r>
    </w:p>
    <w:p>
      <w:pPr>
        <w:pStyle w:val="Heading2"/>
        <w:spacing w:after="100" w:before="240"/>
      </w:pPr>
      <w:r>
        <w:rPr>
          <w:b/>
          <w:bCs/>
          <w:color w:val="2E75B6"/>
          <w:sz w:val="24"/>
          <w:szCs w:val="24"/>
        </w:rPr>
        <w:t xml:space="preserve">Four callouts beside the diagram</w:t>
      </w:r>
    </w:p>
    <w:p>
      <w:pPr>
        <w:pStyle w:val="ListParagraph"/>
        <w:numPr>
          <w:ilvl w:val="0"/>
          <w:numId w:val="2"/>
        </w:numPr>
        <w:spacing w:after="80" w:line="280"/>
      </w:pPr>
      <w:r>
        <w:rPr>
          <w:sz w:val="22"/>
          <w:szCs w:val="22"/>
        </w:rPr>
        <w:t xml:space="preserve">The frontend silently collects device and behavioural signals as the user types — no extra step for the customer</w:t>
      </w:r>
    </w:p>
    <w:p>
      <w:pPr>
        <w:pStyle w:val="ListParagraph"/>
        <w:numPr>
          <w:ilvl w:val="0"/>
          <w:numId w:val="2"/>
        </w:numPr>
        <w:spacing w:after="80" w:line="280"/>
      </w:pPr>
      <w:r>
        <w:rPr>
          <w:sz w:val="22"/>
          <w:szCs w:val="22"/>
        </w:rPr>
        <w:t xml:space="preserve">Device, Behaviour, and Network engines evaluate in parallel, not one after another</w:t>
      </w:r>
    </w:p>
    <w:p>
      <w:pPr>
        <w:pStyle w:val="ListParagraph"/>
        <w:numPr>
          <w:ilvl w:val="0"/>
          <w:numId w:val="2"/>
        </w:numPr>
        <w:spacing w:after="80" w:line="280"/>
      </w:pPr>
      <w:r>
        <w:rPr>
          <w:sz w:val="22"/>
          <w:szCs w:val="22"/>
        </w:rPr>
        <w:t xml:space="preserve">The Scoring Engine combines all three into one decision: Allow, Step-up OTP, or Block</w:t>
      </w:r>
    </w:p>
    <w:p>
      <w:pPr>
        <w:pStyle w:val="ListParagraph"/>
        <w:numPr>
          <w:ilvl w:val="0"/>
          <w:numId w:val="2"/>
        </w:numPr>
        <w:spacing w:after="80" w:line="280"/>
      </w:pPr>
      <w:r>
        <w:rPr>
          <w:sz w:val="22"/>
          <w:szCs w:val="22"/>
        </w:rPr>
        <w:t xml:space="preserve">Fraud-graph updates and event logging happen in the background, after the user has already been let in or challenged</w:t>
      </w:r>
    </w:p>
    <w:p>
      <w:pPr>
        <w:spacing w:after="40" w:before="120"/>
      </w:pPr>
      <w:r>
        <w:rPr>
          <w:b/>
          <w:bCs/>
          <w:i/>
          <w:iCs/>
          <w:color w:val="595959"/>
          <w:sz w:val="20"/>
          <w:szCs w:val="20"/>
        </w:rPr>
        <w:t xml:space="preserve">Narration:</w:t>
      </w:r>
    </w:p>
    <w:p>
      <w:pPr>
        <w:spacing w:after="140" w:line="300"/>
      </w:pPr>
      <w:r>
        <w:rPr>
          <w:sz w:val="22"/>
          <w:szCs w:val="22"/>
        </w:rPr>
        <w:t xml:space="preserve">“Walking through an actual login: the customer enters credentials as normal, and in the background we silently gather device and behaviour signals. Three engines score these in parallel, feeding a single scoring engine that decides in real time whether to let the user straight in, ask for an OTP, or block the attempt outright — all while heavier background work like fraud-graph updates happens without slowing the response.”</w:t>
      </w:r>
    </w:p>
    <w:p>
      <w:pPr>
        <w:pStyle w:val="Heading1"/>
        <w:spacing w:after="160" w:before="400"/>
      </w:pPr>
      <w:r>
        <w:rPr>
          <w:b/>
          <w:bCs/>
          <w:color w:val="1F4E79"/>
          <w:sz w:val="30"/>
          <w:szCs w:val="30"/>
        </w:rPr>
        <w:t xml:space="preserve">Slide 7 — Fraud Graph Intelligence (Neo4j)</w:t>
      </w:r>
    </w:p>
    <w:p>
      <w:pPr>
        <w:spacing w:after="40" w:before="120"/>
      </w:pPr>
      <w:r>
        <w:rPr>
          <w:b/>
          <w:bCs/>
          <w:i/>
          <w:iCs/>
          <w:color w:val="595959"/>
          <w:sz w:val="20"/>
          <w:szCs w:val="20"/>
        </w:rPr>
        <w:t xml:space="preserve">On-slide content:</w:t>
      </w:r>
    </w:p>
    <w:p>
      <w:pPr>
        <w:spacing w:after="140" w:line="300"/>
      </w:pPr>
      <w:r>
        <w:rPr>
          <w:b/>
          <w:bCs/>
          <w:sz w:val="22"/>
          <w:szCs w:val="22"/>
        </w:rPr>
        <w:t xml:space="preserve">Headline: Some Fraud Only Shows Up as a Pattern, Not a Single Event</w:t>
      </w:r>
    </w:p>
    <w:p>
      <w:pPr>
        <w:spacing w:after="140" w:line="300"/>
      </w:pPr>
      <w:r>
        <w:rPr>
          <w:sz w:val="22"/>
          <w:szCs w:val="22"/>
        </w:rPr>
        <w:t xml:space="preserve">A relational database struggles to answer questions like “does this account share an IP with a known fraudster?” or “is this device linked to several recently blocked accounts?” A graph database answers these naturally, because it stores relationships, not just records.</w:t>
      </w:r>
    </w:p>
    <w:p>
      <w:pPr>
        <w:pStyle w:val="Heading2"/>
        <w:spacing w:after="100" w:before="240"/>
      </w:pPr>
      <w:r>
        <w:rPr>
          <w:b/>
          <w:bCs/>
          <w:color w:val="2E75B6"/>
          <w:sz w:val="24"/>
          <w:szCs w:val="24"/>
        </w:rPr>
        <w:t xml:space="preserve">How fraud rings are caught</w:t>
      </w:r>
    </w:p>
    <w:p>
      <w:pPr>
        <w:pStyle w:val="ListParagraph"/>
        <w:numPr>
          <w:ilvl w:val="0"/>
          <w:numId w:val="2"/>
        </w:numPr>
        <w:spacing w:after="80" w:line="280"/>
      </w:pPr>
      <w:r>
        <w:rPr>
          <w:sz w:val="22"/>
          <w:szCs w:val="22"/>
        </w:rPr>
        <w:t xml:space="preserve">Users, devices, and IP addresses are modelled as connected nodes in Neo4j</w:t>
      </w:r>
    </w:p>
    <w:p>
      <w:pPr>
        <w:pStyle w:val="ListParagraph"/>
        <w:numPr>
          <w:ilvl w:val="0"/>
          <w:numId w:val="2"/>
        </w:numPr>
        <w:spacing w:after="80" w:line="280"/>
      </w:pPr>
      <w:r>
        <w:rPr>
          <w:sz w:val="22"/>
          <w:szCs w:val="22"/>
        </w:rPr>
        <w:t xml:space="preserve">A new login from an IP already tied to three or more flagged users triggers an automatic fraud-ring alert</w:t>
      </w:r>
    </w:p>
    <w:p>
      <w:pPr>
        <w:pStyle w:val="ListParagraph"/>
        <w:numPr>
          <w:ilvl w:val="0"/>
          <w:numId w:val="2"/>
        </w:numPr>
        <w:spacing w:after="80" w:line="280"/>
      </w:pPr>
      <w:r>
        <w:rPr>
          <w:sz w:val="22"/>
          <w:szCs w:val="22"/>
        </w:rPr>
        <w:t xml:space="preserve">Analysts can explore these connections live through a 3D force-directed graph on the dashboard</w:t>
      </w:r>
    </w:p>
    <w:p>
      <w:pPr>
        <w:pStyle w:val="Heading2"/>
        <w:spacing w:after="100" w:before="240"/>
      </w:pPr>
      <w:r>
        <w:rPr>
          <w:b/>
          <w:bCs/>
          <w:color w:val="2E75B6"/>
          <w:sz w:val="24"/>
          <w:szCs w:val="24"/>
        </w:rPr>
        <w:t xml:space="preserve">Why this matters for compliance</w:t>
      </w:r>
    </w:p>
    <w:p>
      <w:pPr>
        <w:pStyle w:val="ListParagraph"/>
        <w:numPr>
          <w:ilvl w:val="0"/>
          <w:numId w:val="2"/>
        </w:numPr>
        <w:spacing w:after="80" w:line="280"/>
      </w:pPr>
      <w:r>
        <w:rPr>
          <w:sz w:val="22"/>
          <w:szCs w:val="22"/>
        </w:rPr>
        <w:t xml:space="preserve">Directly supports KYC/AML obligations by surfacing hidden connections before an account is even provisioned</w:t>
      </w:r>
    </w:p>
    <w:p>
      <w:pPr>
        <w:pStyle w:val="ListParagraph"/>
        <w:numPr>
          <w:ilvl w:val="0"/>
          <w:numId w:val="2"/>
        </w:numPr>
        <w:spacing w:after="80" w:line="280"/>
      </w:pPr>
      <w:r>
        <w:rPr>
          <w:sz w:val="22"/>
          <w:szCs w:val="22"/>
        </w:rPr>
        <w:t xml:space="preserve">Helps prevent synthetic-identity fraud rings from slipping through onboarding</w:t>
      </w:r>
    </w:p>
    <w:p>
      <w:pPr>
        <w:spacing w:after="40" w:before="120"/>
      </w:pPr>
      <w:r>
        <w:rPr>
          <w:b/>
          <w:bCs/>
          <w:i/>
          <w:iCs/>
          <w:color w:val="595959"/>
          <w:sz w:val="20"/>
          <w:szCs w:val="20"/>
        </w:rPr>
        <w:t xml:space="preserve">Narration:</w:t>
      </w:r>
    </w:p>
    <w:p>
      <w:pPr>
        <w:spacing w:after="140" w:line="300"/>
      </w:pPr>
      <w:r>
        <w:rPr>
          <w:sz w:val="22"/>
          <w:szCs w:val="22"/>
        </w:rPr>
        <w:t xml:space="preserve">“Fraud rings don't look suspicious one account at a time — they only reveal themselves as a pattern across accounts, devices, and IPs. That's exactly what a graph database is built for. The moment a new signup shares an IP with several already-flagged accounts, the system raises a fraud-ring alert automatically, and analysts can see the whole network visually on the dashboard.”</w:t>
      </w:r>
    </w:p>
    <w:p>
      <w:pPr>
        <w:pStyle w:val="Heading1"/>
        <w:spacing w:after="160" w:before="400"/>
      </w:pPr>
      <w:r>
        <w:rPr>
          <w:b/>
          <w:bCs/>
          <w:color w:val="1F4E79"/>
          <w:sz w:val="30"/>
          <w:szCs w:val="30"/>
        </w:rPr>
        <w:t xml:space="preserve">Slide 8 — Deployment &amp; Scalability</w:t>
      </w:r>
    </w:p>
    <w:p>
      <w:pPr>
        <w:spacing w:after="40" w:before="120"/>
      </w:pPr>
      <w:r>
        <w:rPr>
          <w:b/>
          <w:bCs/>
          <w:i/>
          <w:iCs/>
          <w:color w:val="595959"/>
          <w:sz w:val="20"/>
          <w:szCs w:val="20"/>
        </w:rPr>
        <w:t xml:space="preserve">On-slide content:</w:t>
      </w:r>
    </w:p>
    <w:p>
      <w:pPr>
        <w:spacing w:after="140" w:line="300"/>
      </w:pPr>
      <w:r>
        <w:rPr>
          <w:sz w:val="22"/>
          <w:szCs w:val="22"/>
        </w:rPr>
        <w:t xml:space="preserve">This slide is diagram-led — show the current deployment diagram (Cloudflare Pages → Uvicorn/FastAPI → Supabase + Neo4j AuraDB) as the hero visual, with the scaling strategy as a compact side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4E79" w:color="auto"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6800"/>
            <w:shd w:fill="1F4E79" w:color="auto" w:val="clear"/>
            <w:tcMar>
              <w:top w:type="dxa" w:w="80"/>
              <w:left w:type="dxa" w:w="100"/>
              <w:bottom w:type="dxa" w:w="80"/>
              <w:right w:type="dxa" w:w="100"/>
            </w:tcMar>
            <w:vAlign w:val="center"/>
          </w:tcPr>
          <w:p>
            <w:pPr>
              <w:jc w:val="left"/>
            </w:pPr>
            <w:r>
              <w:rPr>
                <w:b/>
                <w:bCs/>
                <w:color w:val="FFFFFF"/>
                <w:sz w:val="20"/>
                <w:szCs w:val="20"/>
              </w:rPr>
              <w:t xml:space="preserve">Scaling Approach</w:t>
            </w:r>
          </w:p>
        </w:tc>
      </w:tr>
      <w:tr>
        <w:tc>
          <w:tcPr>
            <w:tcW w:type="dxa" w:w="26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Frontend</w:t>
            </w:r>
          </w:p>
        </w:tc>
        <w:tc>
          <w:tcPr>
            <w:tcW w:type="dxa" w:w="68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Cloudflare CDN — globally distributed, auto-scales</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Backend API</w:t>
            </w:r>
          </w:p>
        </w:tc>
        <w:tc>
          <w:tcPr>
            <w:tcW w:type="dxa" w:w="6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Multiple Uvicorn workers, containerisable on Docker/Kubernetes</w:t>
            </w:r>
          </w:p>
        </w:tc>
      </w:tr>
      <w:tr>
        <w:tc>
          <w:tcPr>
            <w:tcW w:type="dxa" w:w="26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Database</w:t>
            </w:r>
          </w:p>
        </w:tc>
        <w:tc>
          <w:tcPr>
            <w:tcW w:type="dxa" w:w="68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Supabase auto-scaling PostgreSQL with connection pooling</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Graph database</w:t>
            </w:r>
          </w:p>
        </w:tc>
        <w:tc>
          <w:tcPr>
            <w:tcW w:type="dxa" w:w="6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Neo4j AuraDB — fully managed, auto-scaling</w:t>
            </w:r>
          </w:p>
        </w:tc>
      </w:tr>
      <w:tr>
        <w:tc>
          <w:tcPr>
            <w:tcW w:type="dxa" w:w="26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Rate limiting</w:t>
            </w:r>
          </w:p>
        </w:tc>
        <w:tc>
          <w:tcPr>
            <w:tcW w:type="dxa" w:w="68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SlowAPI middleware for per-IP throttling</w:t>
            </w:r>
          </w:p>
        </w:tc>
      </w:tr>
    </w:tbl>
    <w:p>
      <w:pPr>
        <w:pStyle w:val="Heading2"/>
        <w:spacing w:after="100" w:before="240"/>
      </w:pPr>
      <w:r>
        <w:rPr>
          <w:b/>
          <w:bCs/>
          <w:color w:val="2E75B6"/>
          <w:sz w:val="24"/>
          <w:szCs w:val="24"/>
        </w:rPr>
        <w:t xml:space="preserve">Performance targets</w:t>
      </w:r>
    </w:p>
    <w:p>
      <w:pPr>
        <w:pStyle w:val="ListParagraph"/>
        <w:numPr>
          <w:ilvl w:val="0"/>
          <w:numId w:val="2"/>
        </w:numPr>
        <w:spacing w:after="80" w:line="280"/>
      </w:pPr>
      <w:r>
        <w:rPr>
          <w:sz w:val="22"/>
          <w:szCs w:val="22"/>
        </w:rPr>
        <w:t xml:space="preserve">Sub-80ms trust-score decisions, with device, behaviour, and network engines evaluated in parallel</w:t>
      </w:r>
    </w:p>
    <w:p>
      <w:pPr>
        <w:pStyle w:val="ListParagraph"/>
        <w:numPr>
          <w:ilvl w:val="0"/>
          <w:numId w:val="2"/>
        </w:numPr>
        <w:spacing w:after="80" w:line="280"/>
      </w:pPr>
      <w:r>
        <w:rPr>
          <w:sz w:val="22"/>
          <w:szCs w:val="22"/>
        </w:rPr>
        <w:t xml:space="preserve">Sub-5ms device lookups thanks to the LRU cache</w:t>
      </w:r>
    </w:p>
    <w:p>
      <w:pPr>
        <w:pStyle w:val="ListParagraph"/>
        <w:numPr>
          <w:ilvl w:val="0"/>
          <w:numId w:val="2"/>
        </w:numPr>
        <w:spacing w:after="80" w:line="280"/>
      </w:pPr>
      <w:r>
        <w:rPr>
          <w:sz w:val="22"/>
          <w:szCs w:val="22"/>
        </w:rPr>
        <w:t xml:space="preserve">Graph updates run in the background and never block the authentication response</w:t>
      </w:r>
    </w:p>
    <w:p>
      <w:pPr>
        <w:pStyle w:val="ListParagraph"/>
        <w:numPr>
          <w:ilvl w:val="0"/>
          <w:numId w:val="2"/>
        </w:numPr>
        <w:spacing w:after="80" w:line="280"/>
      </w:pPr>
      <w:r>
        <w:rPr>
          <w:sz w:val="22"/>
          <w:szCs w:val="22"/>
        </w:rPr>
        <w:t xml:space="preserve">Rate limiting blocks credential-stuffing attempts at the infrastructure level</w:t>
      </w:r>
    </w:p>
    <w:p>
      <w:pPr>
        <w:spacing w:after="40" w:before="120"/>
      </w:pPr>
      <w:r>
        <w:rPr>
          <w:b/>
          <w:bCs/>
          <w:i/>
          <w:iCs/>
          <w:color w:val="595959"/>
          <w:sz w:val="20"/>
          <w:szCs w:val="20"/>
        </w:rPr>
        <w:t xml:space="preserve">Narration:</w:t>
      </w:r>
    </w:p>
    <w:p>
      <w:pPr>
        <w:spacing w:after="140" w:line="300"/>
      </w:pPr>
      <w:r>
        <w:rPr>
          <w:sz w:val="22"/>
          <w:szCs w:val="22"/>
        </w:rPr>
        <w:t xml:space="preserve">“Everything here is built on managed, auto-scaling infrastructure — Cloudflare on the frontend, containerised FastAPI workers on the backend, and fully managed Supabase and Neo4j databases. That translates to sub-80-millisecond trust decisions today, with a clear path to Kubernetes and CI/CD as usage grows, without re-architecting anything.”</w:t>
      </w:r>
    </w:p>
    <w:p>
      <w:pPr>
        <w:pStyle w:val="Heading1"/>
        <w:spacing w:after="160" w:before="400"/>
      </w:pPr>
      <w:r>
        <w:rPr>
          <w:b/>
          <w:bCs/>
          <w:color w:val="1F4E79"/>
          <w:sz w:val="30"/>
          <w:szCs w:val="30"/>
        </w:rPr>
        <w:t xml:space="preserve">Slide 9 — Relevance to the Banking Technology Stack</w:t>
      </w:r>
    </w:p>
    <w:p>
      <w:pPr>
        <w:spacing w:after="40" w:before="120"/>
      </w:pPr>
      <w:r>
        <w:rPr>
          <w:b/>
          <w:bCs/>
          <w:i/>
          <w:iCs/>
          <w:color w:val="595959"/>
          <w:sz w:val="20"/>
          <w:szCs w:val="20"/>
        </w:rPr>
        <w:t xml:space="preserve">Recommended split: present as two slides — 9A (integration &amp; compliance) and 9B (protocols &amp; channels) — the four tables together are too dense for one slide.</w:t>
      </w:r>
    </w:p>
    <w:p>
      <w:pPr>
        <w:pStyle w:val="Heading2"/>
        <w:spacing w:after="100" w:before="240"/>
      </w:pPr>
      <w:r>
        <w:rPr>
          <w:b/>
          <w:bCs/>
          <w:color w:val="2E75B6"/>
          <w:sz w:val="24"/>
          <w:szCs w:val="24"/>
        </w:rPr>
        <w:t xml:space="preserve">Slide 9A — Core Banking Integration &amp; Regulatory Alignment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1F4E79" w:color="auto" w:val="clear"/>
            <w:tcMar>
              <w:top w:type="dxa" w:w="80"/>
              <w:left w:type="dxa" w:w="100"/>
              <w:bottom w:type="dxa" w:w="80"/>
              <w:right w:type="dxa" w:w="100"/>
            </w:tcMar>
            <w:vAlign w:val="center"/>
          </w:tcPr>
          <w:p>
            <w:pPr>
              <w:jc w:val="left"/>
            </w:pPr>
            <w:r>
              <w:rPr>
                <w:b/>
                <w:bCs/>
                <w:color w:val="FFFFFF"/>
                <w:sz w:val="20"/>
                <w:szCs w:val="20"/>
              </w:rPr>
              <w:t xml:space="preserve">TrustSphere Component</w:t>
            </w:r>
          </w:p>
        </w:tc>
        <w:tc>
          <w:tcPr>
            <w:tcW w:type="dxa" w:w="5800"/>
            <w:shd w:fill="1F4E79" w:color="auto" w:val="clear"/>
            <w:tcMar>
              <w:top w:type="dxa" w:w="80"/>
              <w:left w:type="dxa" w:w="100"/>
              <w:bottom w:type="dxa" w:w="80"/>
              <w:right w:type="dxa" w:w="100"/>
            </w:tcMar>
            <w:vAlign w:val="center"/>
          </w:tcPr>
          <w:p>
            <w:pPr>
              <w:jc w:val="left"/>
            </w:pPr>
            <w:r>
              <w:rPr>
                <w:b/>
                <w:bCs/>
                <w:color w:val="FFFFFF"/>
                <w:sz w:val="20"/>
                <w:szCs w:val="20"/>
              </w:rPr>
              <w:t xml:space="preserve">Integrates With</w:t>
            </w:r>
          </w:p>
        </w:tc>
      </w:tr>
      <w:tr>
        <w:tc>
          <w:tcPr>
            <w:tcW w:type="dxa" w:w="36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FastAPI REST API</w:t>
            </w:r>
          </w:p>
        </w:tc>
        <w:tc>
          <w:tcPr>
            <w:tcW w:type="dxa" w:w="58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Core banking API gateways such as Finacle or Temenos, via REST/gRPC</w:t>
            </w:r>
          </w:p>
        </w:tc>
      </w:tr>
      <w:tr>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Supabase PostgreSQL</w:t>
            </w:r>
          </w:p>
        </w:tc>
        <w:tc>
          <w:tcPr>
            <w:tcW w:type="dxa" w:w="5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Core banking relational databases such as Oracle or DB2, via JDBC/REST sync</w:t>
            </w:r>
          </w:p>
        </w:tc>
      </w:tr>
      <w:tr>
        <w:tc>
          <w:tcPr>
            <w:tcW w:type="dxa" w:w="36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Trust Score output</w:t>
            </w:r>
          </w:p>
        </w:tc>
        <w:tc>
          <w:tcPr>
            <w:tcW w:type="dxa" w:w="58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The bank's transaction authorisation engine, as a risk signal feed</w:t>
            </w:r>
          </w:p>
        </w:tc>
      </w:tr>
      <w:tr>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Audit log</w:t>
            </w:r>
          </w:p>
        </w:tc>
        <w:tc>
          <w:tcPr>
            <w:tcW w:type="dxa" w:w="5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The bank's audit and compliance module, as an immutable event stream</w:t>
            </w:r>
          </w:p>
        </w:tc>
      </w:tr>
    </w:tbl>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1F4E79" w:color="auto" w:val="clear"/>
            <w:tcMar>
              <w:top w:type="dxa" w:w="80"/>
              <w:left w:type="dxa" w:w="100"/>
              <w:bottom w:type="dxa" w:w="80"/>
              <w:right w:type="dxa" w:w="100"/>
            </w:tcMar>
            <w:vAlign w:val="center"/>
          </w:tcPr>
          <w:p>
            <w:pPr>
              <w:jc w:val="left"/>
            </w:pPr>
            <w:r>
              <w:rPr>
                <w:b/>
                <w:bCs/>
                <w:color w:val="FFFFFF"/>
                <w:sz w:val="20"/>
                <w:szCs w:val="20"/>
              </w:rPr>
              <w:t xml:space="preserve">Regulation</w:t>
            </w:r>
          </w:p>
        </w:tc>
        <w:tc>
          <w:tcPr>
            <w:tcW w:type="dxa" w:w="5800"/>
            <w:shd w:fill="1F4E79" w:color="auto" w:val="clear"/>
            <w:tcMar>
              <w:top w:type="dxa" w:w="80"/>
              <w:left w:type="dxa" w:w="100"/>
              <w:bottom w:type="dxa" w:w="80"/>
              <w:right w:type="dxa" w:w="100"/>
            </w:tcMar>
            <w:vAlign w:val="center"/>
          </w:tcPr>
          <w:p>
            <w:pPr>
              <w:jc w:val="left"/>
            </w:pPr>
            <w:r>
              <w:rPr>
                <w:b/>
                <w:bCs/>
                <w:color w:val="FFFFFF"/>
                <w:sz w:val="20"/>
                <w:szCs w:val="20"/>
              </w:rPr>
              <w:t xml:space="preserve">How TrustSphere Aligns</w:t>
            </w:r>
          </w:p>
        </w:tc>
      </w:tr>
      <w:tr>
        <w:tc>
          <w:tcPr>
            <w:tcW w:type="dxa" w:w="36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RBI Digital Banking Guidelines</w:t>
            </w:r>
          </w:p>
        </w:tc>
        <w:tc>
          <w:tcPr>
            <w:tcW w:type="dxa" w:w="58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Risk-based adaptive authentication with step-up MFA</w:t>
            </w:r>
          </w:p>
        </w:tc>
      </w:tr>
      <w:tr>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RBI Cybersecurity Framework</w:t>
            </w:r>
          </w:p>
        </w:tc>
        <w:tc>
          <w:tcPr>
            <w:tcW w:type="dxa" w:w="5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Continuous session monitoring and immutable audit logging</w:t>
            </w:r>
          </w:p>
        </w:tc>
      </w:tr>
      <w:tr>
        <w:tc>
          <w:tcPr>
            <w:tcW w:type="dxa" w:w="36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KYC / AML (PMLA)</w:t>
            </w:r>
          </w:p>
        </w:tc>
        <w:tc>
          <w:tcPr>
            <w:tcW w:type="dxa" w:w="58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Onboarding Engine detects synthetic identities and fraud rings</w:t>
            </w:r>
          </w:p>
        </w:tc>
      </w:tr>
      <w:tr>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DPDP Act, 2023 (India)</w:t>
            </w:r>
          </w:p>
        </w:tc>
        <w:tc>
          <w:tcPr>
            <w:tcW w:type="dxa" w:w="58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Privacy-first design — no raw keystroke storage, ever</w:t>
            </w:r>
          </w:p>
        </w:tc>
      </w:tr>
      <w:tr>
        <w:tc>
          <w:tcPr>
            <w:tcW w:type="dxa" w:w="36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PCI-DSS</w:t>
            </w:r>
          </w:p>
        </w:tc>
        <w:tc>
          <w:tcPr>
            <w:tcW w:type="dxa" w:w="58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Encrypted data in transit, CORS controls, and rate limiting</w:t>
            </w:r>
          </w:p>
        </w:tc>
      </w:tr>
    </w:tbl>
    <w:p>
      <w:pPr>
        <w:pStyle w:val="Heading2"/>
        <w:spacing w:after="100" w:before="240"/>
      </w:pPr>
      <w:r>
        <w:rPr>
          <w:b/>
          <w:bCs/>
          <w:color w:val="2E75B6"/>
          <w:sz w:val="24"/>
          <w:szCs w:val="24"/>
        </w:rPr>
        <w:t xml:space="preserve">Slide 9B — Protocol Alignment &amp; Channel Coverage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4E79" w:color="auto" w:val="clear"/>
            <w:tcMar>
              <w:top w:type="dxa" w:w="80"/>
              <w:left w:type="dxa" w:w="100"/>
              <w:bottom w:type="dxa" w:w="80"/>
              <w:right w:type="dxa" w:w="100"/>
            </w:tcMar>
            <w:vAlign w:val="center"/>
          </w:tcPr>
          <w:p>
            <w:pPr>
              <w:jc w:val="left"/>
            </w:pPr>
            <w:r>
              <w:rPr>
                <w:b/>
                <w:bCs/>
                <w:color w:val="FFFFFF"/>
                <w:sz w:val="20"/>
                <w:szCs w:val="20"/>
              </w:rPr>
              <w:t xml:space="preserve">Standard / Protocol</w:t>
            </w:r>
          </w:p>
        </w:tc>
        <w:tc>
          <w:tcPr>
            <w:tcW w:type="dxa" w:w="6000"/>
            <w:shd w:fill="1F4E79" w:color="auto" w:val="clear"/>
            <w:tcMar>
              <w:top w:type="dxa" w:w="80"/>
              <w:left w:type="dxa" w:w="100"/>
              <w:bottom w:type="dxa" w:w="80"/>
              <w:right w:type="dxa" w:w="100"/>
            </w:tcMar>
            <w:vAlign w:val="center"/>
          </w:tcPr>
          <w:p>
            <w:pPr>
              <w:jc w:val="left"/>
            </w:pPr>
            <w:r>
              <w:rPr>
                <w:b/>
                <w:bCs/>
                <w:color w:val="FFFFFF"/>
                <w:sz w:val="20"/>
                <w:szCs w:val="20"/>
              </w:rPr>
              <w:t xml:space="preserve">How It Is Reflected in TrustSphere</w:t>
            </w:r>
          </w:p>
        </w:tc>
      </w:tr>
      <w:tr>
        <w:tc>
          <w:tcPr>
            <w:tcW w:type="dxa" w:w="34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FIDO2 / WebAuthn (planned)</w:t>
            </w:r>
          </w:p>
        </w:tc>
        <w:tc>
          <w:tcPr>
            <w:tcW w:type="dxa" w:w="60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Device fingerprinting acts as a stepping stone toward hardware attestation</w:t>
            </w:r>
          </w:p>
        </w:tc>
      </w:tr>
      <w:tr>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OAuth 2.0 / OIDC</w:t>
            </w:r>
          </w:p>
        </w:tc>
        <w:tc>
          <w:tcPr>
            <w:tcW w:type="dxa" w:w="60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Supabase Auth issues tokens; TrustSphere adds the risk-scoring layer on top</w:t>
            </w:r>
          </w:p>
        </w:tc>
      </w:tr>
      <w:tr>
        <w:tc>
          <w:tcPr>
            <w:tcW w:type="dxa" w:w="34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NIST SP 800-63B</w:t>
            </w:r>
          </w:p>
        </w:tc>
        <w:tc>
          <w:tcPr>
            <w:tcW w:type="dxa" w:w="60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Risk-based authentication mapped to NIST's assurance-level tiers</w:t>
            </w:r>
          </w:p>
        </w:tc>
      </w:tr>
      <w:tr>
        <w:tc>
          <w:tcPr>
            <w:tcW w:type="dxa" w:w="34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Zero Trust Architecture</w:t>
            </w:r>
          </w:p>
        </w:tc>
        <w:tc>
          <w:tcPr>
            <w:tcW w:type="dxa" w:w="60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“Never trust, always verify” — every request is re-evaluated</w:t>
            </w:r>
          </w:p>
        </w:tc>
      </w:tr>
      <w:tr>
        <w:tc>
          <w:tcPr>
            <w:tcW w:type="dxa" w:w="34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MITRE ATT&amp;CK (Financial)</w:t>
            </w:r>
          </w:p>
        </w:tc>
        <w:tc>
          <w:tcPr>
            <w:tcW w:type="dxa" w:w="60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Behaviour engine maps directly to techniques such as Valid Accounts and Brute Force</w:t>
            </w:r>
          </w:p>
        </w:tc>
      </w:tr>
    </w:tbl>
    <w:p>
      <w:pPr>
        <w:spacing w:after="140" w:line="300"/>
      </w:pPr>
      <w:r>
        <w:rPr>
          <w:i w:val="false"/>
          <w:iCs w:val="false"/>
          <w:sz w:val="22"/>
          <w:szCs w:val="22"/>
        </w:rPr>
        <w:t xml:space="preserve">Channel coverage: Internet banking and mobile banking are fully covered end-to-end; ATM/POS and UPI/IMPS are covered at the API and transaction-behaviour level; customer-care recovery flows and the admin/analyst portal are each covered by their dedicated engines.</w:t>
      </w:r>
    </w:p>
    <w:p>
      <w:pPr>
        <w:spacing w:after="40" w:before="120"/>
      </w:pPr>
      <w:r>
        <w:rPr>
          <w:b/>
          <w:bCs/>
          <w:i/>
          <w:iCs/>
          <w:color w:val="595959"/>
          <w:sz w:val="20"/>
          <w:szCs w:val="20"/>
        </w:rPr>
        <w:t xml:space="preserve">Narration (both slides):</w:t>
      </w:r>
    </w:p>
    <w:p>
      <w:pPr>
        <w:spacing w:after="140" w:line="300"/>
      </w:pPr>
      <w:r>
        <w:rPr>
          <w:sz w:val="22"/>
          <w:szCs w:val="22"/>
        </w:rPr>
        <w:t xml:space="preserve">“TrustSphere wasn't designed as a standalone tool sitting outside the bank's systems — it's designed to plug into what already exists. It speaks REST to core banking gateways, syncs with existing relational databases, and its outputs map directly onto RBI, DPDP, and PCI-DSS obligations the bank already has to meet. It also aligns with international standards like Zero Trust and NIST 800-63B, so it's not just India-relevant, it's audit-ready.”</w:t>
      </w:r>
    </w:p>
    <w:p>
      <w:pPr>
        <w:pStyle w:val="Heading1"/>
        <w:spacing w:after="160" w:before="400"/>
      </w:pPr>
      <w:r>
        <w:rPr>
          <w:b/>
          <w:bCs/>
          <w:color w:val="1F4E79"/>
          <w:sz w:val="30"/>
          <w:szCs w:val="30"/>
        </w:rPr>
        <w:t xml:space="preserve">Slide 10 — Innovation, Impact &amp; Roadmap</w:t>
      </w:r>
    </w:p>
    <w:p>
      <w:pPr>
        <w:pStyle w:val="Heading2"/>
        <w:spacing w:after="100" w:before="240"/>
      </w:pPr>
      <w:r>
        <w:rPr>
          <w:b/>
          <w:bCs/>
          <w:color w:val="2E75B6"/>
          <w:sz w:val="24"/>
          <w:szCs w:val="24"/>
        </w:rPr>
        <w:t xml:space="preserve">What makes TrustSphere different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tblHeader/>
        </w:trPr>
        <w:tc>
          <w:tcPr>
            <w:tcW w:type="dxa" w:w="3000"/>
            <w:shd w:fill="1F4E79" w:color="auto" w:val="clear"/>
            <w:tcMar>
              <w:top w:type="dxa" w:w="80"/>
              <w:left w:type="dxa" w:w="100"/>
              <w:bottom w:type="dxa" w:w="80"/>
              <w:right w:type="dxa" w:w="100"/>
            </w:tcMar>
            <w:vAlign w:val="center"/>
          </w:tcPr>
          <w:p>
            <w:pPr>
              <w:jc w:val="left"/>
            </w:pPr>
            <w:r>
              <w:rPr>
                <w:b/>
                <w:bCs/>
                <w:color w:val="FFFFFF"/>
                <w:sz w:val="20"/>
                <w:szCs w:val="20"/>
              </w:rPr>
              <w:t xml:space="preserve">Dimension</w:t>
            </w:r>
          </w:p>
        </w:tc>
        <w:tc>
          <w:tcPr>
            <w:tcW w:type="dxa" w:w="3200"/>
            <w:shd w:fill="1F4E79" w:color="auto" w:val="clear"/>
            <w:tcMar>
              <w:top w:type="dxa" w:w="80"/>
              <w:left w:type="dxa" w:w="100"/>
              <w:bottom w:type="dxa" w:w="80"/>
              <w:right w:type="dxa" w:w="100"/>
            </w:tcMar>
            <w:vAlign w:val="center"/>
          </w:tcPr>
          <w:p>
            <w:pPr>
              <w:jc w:val="left"/>
            </w:pPr>
            <w:r>
              <w:rPr>
                <w:b/>
                <w:bCs/>
                <w:color w:val="FFFFFF"/>
                <w:sz w:val="20"/>
                <w:szCs w:val="20"/>
              </w:rPr>
              <w:t xml:space="preserve">TrustSphere</w:t>
            </w:r>
          </w:p>
        </w:tc>
        <w:tc>
          <w:tcPr>
            <w:tcW w:type="dxa" w:w="3200"/>
            <w:shd w:fill="1F4E79" w:color="auto" w:val="clear"/>
            <w:tcMar>
              <w:top w:type="dxa" w:w="80"/>
              <w:left w:type="dxa" w:w="100"/>
              <w:bottom w:type="dxa" w:w="80"/>
              <w:right w:type="dxa" w:w="100"/>
            </w:tcMar>
            <w:vAlign w:val="center"/>
          </w:tcPr>
          <w:p>
            <w:pPr>
              <w:jc w:val="left"/>
            </w:pPr>
            <w:r>
              <w:rPr>
                <w:b/>
                <w:bCs/>
                <w:color w:val="FFFFFF"/>
                <w:sz w:val="20"/>
                <w:szCs w:val="20"/>
              </w:rPr>
              <w:t xml:space="preserve">Traditional Approach</w:t>
            </w:r>
          </w:p>
        </w:tc>
      </w:tr>
      <w:tr>
        <w:tc>
          <w:tcPr>
            <w:tcW w:type="dxa" w:w="30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Trust evaluation</w:t>
            </w:r>
          </w:p>
        </w:tc>
        <w:tc>
          <w:tcPr>
            <w:tcW w:type="dxa" w:w="32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Continuous, real-time</w:t>
            </w:r>
          </w:p>
        </w:tc>
        <w:tc>
          <w:tcPr>
            <w:tcW w:type="dxa" w:w="32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One-time, at login only</w:t>
            </w:r>
          </w:p>
        </w:tc>
      </w:tr>
      <w:tr>
        <w:tc>
          <w:tcPr>
            <w:tcW w:type="dxa" w:w="30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MFA trigger</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Risk-based and adaptive</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Always-on, high friction</w:t>
            </w:r>
          </w:p>
        </w:tc>
      </w:tr>
      <w:tr>
        <w:tc>
          <w:tcPr>
            <w:tcW w:type="dxa" w:w="30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Fraud-ring detection</w:t>
            </w:r>
          </w:p>
        </w:tc>
        <w:tc>
          <w:tcPr>
            <w:tcW w:type="dxa" w:w="32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Graph-based (Neo4j)</w:t>
            </w:r>
          </w:p>
        </w:tc>
        <w:tc>
          <w:tcPr>
            <w:tcW w:type="dxa" w:w="32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Simple static rule lists</w:t>
            </w:r>
          </w:p>
        </w:tc>
      </w:tr>
      <w:tr>
        <w:tc>
          <w:tcPr>
            <w:tcW w:type="dxa" w:w="30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Insider threat detection</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Behavioural + velocity based</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Manual, periodic audits</w:t>
            </w:r>
          </w:p>
        </w:tc>
      </w:tr>
      <w:tr>
        <w:tc>
          <w:tcPr>
            <w:tcW w:type="dxa" w:w="30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Explainability</w:t>
            </w:r>
          </w:p>
        </w:tc>
        <w:tc>
          <w:tcPr>
            <w:tcW w:type="dxa" w:w="32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Human-readable reason codes</w:t>
            </w:r>
          </w:p>
        </w:tc>
        <w:tc>
          <w:tcPr>
            <w:tcW w:type="dxa" w:w="3200"/>
            <w:shd w:fill="F2F7FC" w:color="auto" w:val="clear"/>
            <w:tcMar>
              <w:top w:type="dxa" w:w="80"/>
              <w:left w:type="dxa" w:w="100"/>
              <w:bottom w:type="dxa" w:w="80"/>
              <w:right w:type="dxa" w:w="100"/>
            </w:tcMar>
            <w:vAlign w:val="center"/>
          </w:tcPr>
          <w:p>
            <w:pPr>
              <w:jc w:val="left"/>
            </w:pPr>
            <w:r>
              <w:rPr>
                <w:b w:val="false"/>
                <w:bCs w:val="false"/>
                <w:color w:val="000000"/>
                <w:sz w:val="20"/>
                <w:szCs w:val="20"/>
              </w:rPr>
              <w:t xml:space="preserve">Black-box scoring</w:t>
            </w:r>
          </w:p>
        </w:tc>
      </w:tr>
    </w:tbl>
    <w:p>
      <w:pPr>
        <w:pStyle w:val="Heading2"/>
        <w:spacing w:after="100" w:before="240"/>
      </w:pPr>
      <w:r>
        <w:rPr>
          <w:b/>
          <w:bCs/>
          <w:color w:val="2E75B6"/>
          <w:sz w:val="24"/>
          <w:szCs w:val="24"/>
        </w:rPr>
        <w:t xml:space="preserve">Expected impact</w:t>
      </w:r>
    </w:p>
    <w:p>
      <w:pPr>
        <w:pStyle w:val="ListParagraph"/>
        <w:numPr>
          <w:ilvl w:val="0"/>
          <w:numId w:val="2"/>
        </w:numPr>
        <w:spacing w:after="80" w:line="280"/>
      </w:pPr>
      <w:r>
        <w:rPr>
          <w:sz w:val="22"/>
          <w:szCs w:val="22"/>
        </w:rPr>
        <w:t xml:space="preserve">Account takeover incidents: down 70–80%</w:t>
      </w:r>
    </w:p>
    <w:p>
      <w:pPr>
        <w:pStyle w:val="ListParagraph"/>
        <w:numPr>
          <w:ilvl w:val="0"/>
          <w:numId w:val="2"/>
        </w:numPr>
        <w:spacing w:after="80" w:line="280"/>
      </w:pPr>
      <w:r>
        <w:rPr>
          <w:sz w:val="22"/>
          <w:szCs w:val="22"/>
        </w:rPr>
        <w:t xml:space="preserve">False-positive MFA prompts: down roughly 60%, reducing customer friction</w:t>
      </w:r>
    </w:p>
    <w:p>
      <w:pPr>
        <w:pStyle w:val="ListParagraph"/>
        <w:numPr>
          <w:ilvl w:val="0"/>
          <w:numId w:val="2"/>
        </w:numPr>
        <w:spacing w:after="80" w:line="280"/>
      </w:pPr>
      <w:r>
        <w:rPr>
          <w:sz w:val="22"/>
          <w:szCs w:val="22"/>
        </w:rPr>
        <w:t xml:space="preserve">KYC fraud catch rate: up more than 85%</w:t>
      </w:r>
    </w:p>
    <w:p>
      <w:pPr>
        <w:pStyle w:val="ListParagraph"/>
        <w:numPr>
          <w:ilvl w:val="0"/>
          <w:numId w:val="2"/>
        </w:numPr>
        <w:spacing w:after="80" w:line="280"/>
      </w:pPr>
      <w:r>
        <w:rPr>
          <w:sz w:val="22"/>
          <w:szCs w:val="22"/>
        </w:rPr>
        <w:t xml:space="preserve">Insider threat detection time: reduced from weeks to real-time</w:t>
      </w:r>
    </w:p>
    <w:p>
      <w:pPr>
        <w:pStyle w:val="Heading2"/>
        <w:spacing w:after="100" w:before="240"/>
      </w:pPr>
      <w:r>
        <w:rPr>
          <w:b/>
          <w:bCs/>
          <w:color w:val="2E75B6"/>
          <w:sz w:val="24"/>
          <w:szCs w:val="24"/>
        </w:rPr>
        <w:t xml:space="preserve">Roadmap</w:t>
      </w:r>
    </w:p>
    <w:p>
      <w:pPr>
        <w:pStyle w:val="ListParagraph"/>
        <w:numPr>
          <w:ilvl w:val="0"/>
          <w:numId w:val="2"/>
        </w:numPr>
        <w:spacing w:after="80" w:line="280"/>
      </w:pPr>
      <w:r>
        <w:rPr>
          <w:b/>
          <w:bCs/>
          <w:sz w:val="22"/>
          <w:szCs w:val="22"/>
        </w:rPr>
        <w:t xml:space="preserve">Phase 2 (3–6 months): </w:t>
      </w:r>
      <w:r>
        <w:rPr>
          <w:sz w:val="22"/>
          <w:szCs w:val="22"/>
        </w:rPr>
        <w:t xml:space="preserve">FIDO2/Passkey support, federated identity across Bank of Baroda group entities, real-time ML retraining from confirmed fraud, and risk scoring for WhatsApp/IVRS banking channels.</w:t>
      </w:r>
    </w:p>
    <w:p>
      <w:pPr>
        <w:pStyle w:val="ListParagraph"/>
        <w:numPr>
          <w:ilvl w:val="0"/>
          <w:numId w:val="2"/>
        </w:numPr>
        <w:spacing w:after="80" w:line="280"/>
      </w:pPr>
      <w:r>
        <w:rPr>
          <w:b/>
          <w:bCs/>
          <w:sz w:val="22"/>
          <w:szCs w:val="22"/>
        </w:rPr>
        <w:t xml:space="preserve">Phase 3 (6–12 months): </w:t>
      </w:r>
      <w:r>
        <w:rPr>
          <w:sz w:val="22"/>
          <w:szCs w:val="22"/>
        </w:rPr>
        <w:t xml:space="preserve">automated RBI regulatory reporting, privacy-preserving cross-bank fraud-ring sharing, biometric fusion (voice and face liveness) for high-value transactions, and transaction-level scoring beyond login.</w:t>
      </w:r>
    </w:p>
    <w:p>
      <w:pPr>
        <w:pStyle w:val="Heading2"/>
        <w:spacing w:after="100" w:before="240"/>
      </w:pPr>
      <w:r>
        <w:rPr>
          <w:b/>
          <w:bCs/>
          <w:color w:val="2E75B6"/>
          <w:sz w:val="24"/>
          <w:szCs w:val="24"/>
        </w:rPr>
        <w:t xml:space="preserve">Why this matters for Bank of Baroda specifically</w:t>
      </w:r>
    </w:p>
    <w:p>
      <w:pPr>
        <w:pStyle w:val="ListParagraph"/>
        <w:numPr>
          <w:ilvl w:val="0"/>
          <w:numId w:val="2"/>
        </w:numPr>
        <w:spacing w:after="80" w:line="280"/>
      </w:pPr>
      <w:r>
        <w:rPr>
          <w:sz w:val="22"/>
          <w:szCs w:val="22"/>
        </w:rPr>
        <w:t xml:space="preserve">Built around the Indian banking context — India-based geolocation, timezone defaults, and RBI compliance mapping from day one</w:t>
      </w:r>
    </w:p>
    <w:p>
      <w:pPr>
        <w:pStyle w:val="ListParagraph"/>
        <w:numPr>
          <w:ilvl w:val="0"/>
          <w:numId w:val="2"/>
        </w:numPr>
        <w:spacing w:after="80" w:line="280"/>
      </w:pPr>
      <w:r>
        <w:rPr>
          <w:sz w:val="22"/>
          <w:szCs w:val="22"/>
        </w:rPr>
        <w:t xml:space="preserve">An open, REST-based architecture that integrates without a rip-and-replace of existing systems</w:t>
      </w:r>
    </w:p>
    <w:p>
      <w:pPr>
        <w:pStyle w:val="ListParagraph"/>
        <w:numPr>
          <w:ilvl w:val="0"/>
          <w:numId w:val="2"/>
        </w:numPr>
        <w:spacing w:after="80" w:line="280"/>
      </w:pPr>
      <w:r>
        <w:rPr>
          <w:sz w:val="22"/>
          <w:szCs w:val="22"/>
        </w:rPr>
        <w:t xml:space="preserve">Real explainability — auditors get plain-language reason codes, not just an opaque number</w:t>
      </w:r>
    </w:p>
    <w:p>
      <w:pPr>
        <w:pStyle w:val="ListParagraph"/>
        <w:numPr>
          <w:ilvl w:val="0"/>
          <w:numId w:val="2"/>
        </w:numPr>
        <w:spacing w:after="80" w:line="280"/>
      </w:pPr>
      <w:r>
        <w:rPr>
          <w:sz w:val="22"/>
          <w:szCs w:val="22"/>
        </w:rPr>
        <w:t xml:space="preserve">Privacy by design, aligned with the DPDP Act, 2023</w:t>
      </w:r>
    </w:p>
    <w:p>
      <w:pPr>
        <w:pStyle w:val="ListParagraph"/>
        <w:numPr>
          <w:ilvl w:val="0"/>
          <w:numId w:val="2"/>
        </w:numPr>
        <w:spacing w:after="80" w:line="280"/>
      </w:pPr>
      <w:r>
        <w:rPr>
          <w:sz w:val="22"/>
          <w:szCs w:val="22"/>
        </w:rPr>
        <w:t xml:space="preserve">A full analyst dashboard for live session monitoring, graph exploration, and configurable thresholds</w:t>
      </w:r>
    </w:p>
    <w:p>
      <w:pPr>
        <w:spacing w:after="40" w:before="120"/>
      </w:pPr>
      <w:r>
        <w:rPr>
          <w:b/>
          <w:bCs/>
          <w:i/>
          <w:iCs/>
          <w:color w:val="595959"/>
          <w:sz w:val="20"/>
          <w:szCs w:val="20"/>
        </w:rPr>
        <w:t xml:space="preserve">Narration:</w:t>
      </w:r>
    </w:p>
    <w:p>
      <w:pPr>
        <w:spacing w:after="140" w:line="300"/>
      </w:pPr>
      <w:r>
        <w:rPr>
          <w:sz w:val="22"/>
          <w:szCs w:val="22"/>
        </w:rPr>
        <w:t xml:space="preserve">“What sets TrustSphere apart isn't any single feature — it's that trust is continuous instead of one-time, friction is adaptive instead of blanket, and every decision is explainable instead of a black box. We expect this to cut account takeover by up to 80% while actually reducing friction for genuine customers, and we've mapped out a clear roadmap from passkeys to cross-bank fraud intelligence sharing.”</w:t>
      </w:r>
    </w:p>
    <w:p>
      <w:pPr>
        <w:pStyle w:val="Heading1"/>
        <w:spacing w:after="160" w:before="400"/>
      </w:pPr>
      <w:r>
        <w:rPr>
          <w:b/>
          <w:bCs/>
          <w:color w:val="1F4E79"/>
          <w:sz w:val="30"/>
          <w:szCs w:val="30"/>
        </w:rPr>
        <w:t xml:space="preserve">Appendix — Quick Reference (Backup Slide)</w:t>
      </w:r>
    </w:p>
    <w:p>
      <w:pPr>
        <w:spacing w:after="40" w:before="120"/>
      </w:pPr>
      <w:r>
        <w:rPr>
          <w:b/>
          <w:bCs/>
          <w:i/>
          <w:iCs/>
          <w:color w:val="595959"/>
          <w:sz w:val="20"/>
          <w:szCs w:val="20"/>
        </w:rPr>
        <w:t xml:space="preserve">Keep this as a backup slide, not part of the core narrative — bring it up only if judges ask for technical detail.</w:t>
      </w:r>
    </w:p>
    <w:p>
      <w:pPr>
        <w:pStyle w:val="Heading2"/>
        <w:spacing w:after="100" w:before="240"/>
      </w:pPr>
      <w:r>
        <w:rPr>
          <w:b/>
          <w:bCs/>
          <w:color w:val="2E75B6"/>
          <w:sz w:val="24"/>
          <w:szCs w:val="24"/>
        </w:rPr>
        <w:t xml:space="preserve">Trust score formula</w:t>
      </w:r>
    </w:p>
    <w:p>
      <w:pPr>
        <w:spacing w:after="140" w:line="300"/>
      </w:pPr>
      <w:r>
        <w:rPr>
          <w:sz w:val="22"/>
          <w:szCs w:val="22"/>
        </w:rPr>
        <w:t xml:space="preserve">Trust Score = (Device Score × 0.40) + (Behaviour Score × 0.35) + (Network Score × 0.25), with weights configurable in the system_config table.</w:t>
      </w:r>
    </w:p>
    <w:p>
      <w:pPr>
        <w:pStyle w:val="Heading2"/>
        <w:spacing w:after="100" w:before="240"/>
      </w:pPr>
      <w:r>
        <w:rPr>
          <w:b/>
          <w:bCs/>
          <w:color w:val="2E75B6"/>
          <w:sz w:val="24"/>
          <w:szCs w:val="24"/>
        </w:rPr>
        <w:t xml:space="preserve">Key API endpoints</w:t>
      </w:r>
    </w:p>
    <w:p>
      <w:pPr>
        <w:pStyle w:val="ListParagraph"/>
        <w:numPr>
          <w:ilvl w:val="0"/>
          <w:numId w:val="2"/>
        </w:numPr>
        <w:spacing w:after="80" w:line="280"/>
      </w:pPr>
      <w:r>
        <w:rPr>
          <w:sz w:val="22"/>
          <w:szCs w:val="22"/>
        </w:rPr>
        <w:t xml:space="preserve">POST /api/auth/login — returns trust score and authentication decision</w:t>
      </w:r>
    </w:p>
    <w:p>
      <w:pPr>
        <w:pStyle w:val="ListParagraph"/>
        <w:numPr>
          <w:ilvl w:val="0"/>
          <w:numId w:val="2"/>
        </w:numPr>
        <w:spacing w:after="80" w:line="280"/>
      </w:pPr>
      <w:r>
        <w:rPr>
          <w:sz w:val="22"/>
          <w:szCs w:val="22"/>
        </w:rPr>
        <w:t xml:space="preserve">POST /api/auth/verify-otp — verifies step-up OTP</w:t>
      </w:r>
    </w:p>
    <w:p>
      <w:pPr>
        <w:pStyle w:val="ListParagraph"/>
        <w:numPr>
          <w:ilvl w:val="0"/>
          <w:numId w:val="2"/>
        </w:numPr>
        <w:spacing w:after="80" w:line="280"/>
      </w:pPr>
      <w:r>
        <w:rPr>
          <w:sz w:val="22"/>
          <w:szCs w:val="22"/>
        </w:rPr>
        <w:t xml:space="preserve">POST /api/onboarding/evaluate — KYC risk scoring</w:t>
      </w:r>
    </w:p>
    <w:p>
      <w:pPr>
        <w:pStyle w:val="ListParagraph"/>
        <w:numPr>
          <w:ilvl w:val="0"/>
          <w:numId w:val="2"/>
        </w:numPr>
        <w:spacing w:after="80" w:line="280"/>
      </w:pPr>
      <w:r>
        <w:rPr>
          <w:sz w:val="22"/>
          <w:szCs w:val="22"/>
        </w:rPr>
        <w:t xml:space="preserve">POST /api/recovery/init — account recovery risk scoring</w:t>
      </w:r>
    </w:p>
    <w:p>
      <w:pPr>
        <w:pStyle w:val="ListParagraph"/>
        <w:numPr>
          <w:ilvl w:val="0"/>
          <w:numId w:val="2"/>
        </w:numPr>
        <w:spacing w:after="80" w:line="280"/>
      </w:pPr>
      <w:r>
        <w:rPr>
          <w:sz w:val="22"/>
          <w:szCs w:val="22"/>
        </w:rPr>
        <w:t xml:space="preserve">POST /api/insider/evaluate — privileged access / insider threat check</w:t>
      </w:r>
    </w:p>
    <w:p>
      <w:pPr>
        <w:pStyle w:val="ListParagraph"/>
        <w:numPr>
          <w:ilvl w:val="0"/>
          <w:numId w:val="2"/>
        </w:numPr>
        <w:spacing w:after="80" w:line="280"/>
      </w:pPr>
      <w:r>
        <w:rPr>
          <w:sz w:val="22"/>
          <w:szCs w:val="22"/>
        </w:rPr>
        <w:t xml:space="preserve">GET /api/graph/nodes — fraud graph visualisation data</w:t>
      </w:r>
    </w:p>
    <w:p>
      <w:pPr>
        <w:pStyle w:val="ListParagraph"/>
        <w:numPr>
          <w:ilvl w:val="0"/>
          <w:numId w:val="2"/>
        </w:numPr>
        <w:spacing w:after="80" w:line="280"/>
      </w:pPr>
      <w:r>
        <w:rPr>
          <w:sz w:val="22"/>
          <w:szCs w:val="22"/>
        </w:rPr>
        <w:t xml:space="preserve">GET /api/stats/overview — dashboard metrics</w:t>
      </w:r>
    </w:p>
    <w:p>
      <w:pPr>
        <w:pStyle w:val="Heading2"/>
        <w:spacing w:after="100" w:before="240"/>
      </w:pPr>
      <w:r>
        <w:rPr>
          <w:b/>
          <w:bCs/>
          <w:color w:val="2E75B6"/>
          <w:sz w:val="24"/>
          <w:szCs w:val="24"/>
        </w:rPr>
        <w:t xml:space="preserve">Flag reference (selected)</w:t>
      </w:r>
    </w:p>
    <w:p>
      <w:pPr>
        <w:pStyle w:val="ListParagraph"/>
        <w:numPr>
          <w:ilvl w:val="0"/>
          <w:numId w:val="2"/>
        </w:numPr>
        <w:spacing w:after="80" w:line="280"/>
      </w:pPr>
      <w:r>
        <w:rPr>
          <w:sz w:val="22"/>
          <w:szCs w:val="22"/>
        </w:rPr>
        <w:t xml:space="preserve">NEW_DEVICE, HEADLESS_BROWSER, UNEXPECTED_TIMEZONE — device-related flags</w:t>
      </w:r>
    </w:p>
    <w:p>
      <w:pPr>
        <w:pStyle w:val="ListParagraph"/>
        <w:numPr>
          <w:ilvl w:val="0"/>
          <w:numId w:val="2"/>
        </w:numPr>
        <w:spacing w:after="80" w:line="280"/>
      </w:pPr>
      <w:r>
        <w:rPr>
          <w:sz w:val="22"/>
          <w:szCs w:val="22"/>
        </w:rPr>
        <w:t xml:space="preserve">BOT_TYPING_SPEED, BOT_KEYSTROKE_PATTERN, NO_MOUSE_MOVEMENT, BEHAVIORAL_ANOMALY — behavioural flags</w:t>
      </w:r>
    </w:p>
    <w:p>
      <w:pPr>
        <w:pStyle w:val="ListParagraph"/>
        <w:numPr>
          <w:ilvl w:val="0"/>
          <w:numId w:val="2"/>
        </w:numPr>
        <w:spacing w:after="80" w:line="280"/>
      </w:pPr>
      <w:r>
        <w:rPr>
          <w:sz w:val="22"/>
          <w:szCs w:val="22"/>
        </w:rPr>
        <w:t xml:space="preserve">IMPOSSIBLE_TRAVEL, FLAGGED_IP_CRITICAL, TOR_EXIT_NODE, FOREIGN_IP — network flags</w:t>
      </w:r>
    </w:p>
    <w:p>
      <w:pPr>
        <w:pStyle w:val="ListParagraph"/>
        <w:numPr>
          <w:ilvl w:val="0"/>
          <w:numId w:val="2"/>
        </w:numPr>
        <w:spacing w:after="80" w:line="280"/>
      </w:pPr>
      <w:r>
        <w:rPr>
          <w:sz w:val="22"/>
          <w:szCs w:val="22"/>
        </w:rPr>
        <w:t xml:space="preserve">HIGH_RECOVERY_VELOCITY, DISPOSABLE_EMAIL, OFF_HOURS_ACCESS, HIGH_VOLUME_ANOMALY — onboarding, recovery, and insider-threat flags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2026-08-03T09:51:01.864Z</dcterms:created>
  <dcterms:modified xsi:type="dcterms:W3CDTF">2026-08-03T09:51:01.867Z</dcterms:modified>
</cp:coreProperties>
</file>

<file path=docProps/custom.xml><?xml version="1.0" encoding="utf-8"?>
<Properties xmlns="http://schemas.openxmlformats.org/officeDocument/2006/custom-properties" xmlns:vt="http://schemas.openxmlformats.org/officeDocument/2006/docPropsVTypes"/>
</file>