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4b626a"/>
          <w:sz w:val="18"/>
          <w:szCs w:val="18"/>
          <w:rtl w:val="0"/>
        </w:rPr>
        <w:t xml:space="preserve">Córdoba Open Challenge · Propuesta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4c57"/>
          <w:sz w:val="36"/>
          <w:szCs w:val="36"/>
          <w:rtl w:val="0"/>
        </w:rPr>
        <w:t xml:space="preserve">Plataforma autogestionable para estimar la huella de carbono de las empresas de Córdoba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color w:val="4b626a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4b626a"/>
          <w:sz w:val="19"/>
          <w:szCs w:val="19"/>
          <w:rtl w:val="0"/>
        </w:rPr>
        <w:t xml:space="preserve">Digitalización de la calculadora del Instituto de Transformación Energética de Córdoba (ITEC).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color w:val="4b626a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4b626a"/>
          <w:sz w:val="19"/>
          <w:szCs w:val="19"/>
          <w:rtl w:val="0"/>
        </w:rPr>
        <w:t xml:space="preserve">Equipo: </w:t>
      </w:r>
      <w:r w:rsidDel="00000000" w:rsidR="00000000" w:rsidRPr="00000000">
        <w:rPr>
          <w:color w:val="4b626a"/>
          <w:sz w:val="19"/>
          <w:szCs w:val="19"/>
          <w:rtl w:val="0"/>
        </w:rPr>
        <w:t xml:space="preserve">Zon</w:t>
      </w:r>
    </w:p>
    <w:p w:rsidR="00000000" w:rsidDel="00000000" w:rsidP="00000000" w:rsidRDefault="00000000" w:rsidRPr="00000000" w14:paraId="00000005">
      <w:pPr>
        <w:spacing w:after="80" w:lineRule="auto"/>
        <w:rPr>
          <w:color w:val="4b626a"/>
          <w:sz w:val="19"/>
          <w:szCs w:val="19"/>
        </w:rPr>
      </w:pPr>
      <w:r w:rsidDel="00000000" w:rsidR="00000000" w:rsidRPr="00000000">
        <w:rPr>
          <w:color w:val="4b626a"/>
          <w:sz w:val="19"/>
          <w:szCs w:val="19"/>
          <w:rtl w:val="0"/>
        </w:rPr>
        <w:t xml:space="preserve">Mateo Del Lungo - Tecnicatura Superior en Programación - Universidad Tecnológica Nacional</w:t>
      </w:r>
    </w:p>
    <w:p w:rsidR="00000000" w:rsidDel="00000000" w:rsidP="00000000" w:rsidRDefault="00000000" w:rsidRPr="00000000" w14:paraId="00000006">
      <w:pPr>
        <w:spacing w:after="80" w:lineRule="auto"/>
        <w:rPr>
          <w:color w:val="4b626a"/>
          <w:sz w:val="19"/>
          <w:szCs w:val="19"/>
        </w:rPr>
      </w:pPr>
      <w:r w:rsidDel="00000000" w:rsidR="00000000" w:rsidRPr="00000000">
        <w:rPr>
          <w:color w:val="4b626a"/>
          <w:sz w:val="19"/>
          <w:szCs w:val="19"/>
          <w:rtl w:val="0"/>
        </w:rPr>
        <w:t xml:space="preserve">Tomas Aparicio - Ingeniería en Sistemas - Universidad Tecnológica Nacional</w:t>
      </w:r>
    </w:p>
    <w:p w:rsidR="00000000" w:rsidDel="00000000" w:rsidP="00000000" w:rsidRDefault="00000000" w:rsidRPr="00000000" w14:paraId="00000007">
      <w:pPr>
        <w:spacing w:after="80" w:lineRule="auto"/>
        <w:rPr>
          <w:color w:val="4b626a"/>
          <w:sz w:val="19"/>
          <w:szCs w:val="19"/>
        </w:rPr>
      </w:pPr>
      <w:r w:rsidDel="00000000" w:rsidR="00000000" w:rsidRPr="00000000">
        <w:rPr>
          <w:color w:val="4b626a"/>
          <w:sz w:val="19"/>
          <w:szCs w:val="19"/>
          <w:rtl w:val="0"/>
        </w:rPr>
        <w:t xml:space="preserve">Lucila Olguin - Diseño Industrial - Facultad de Arquitectura Urbanismo y Diseño</w:t>
      </w:r>
    </w:p>
    <w:p w:rsidR="00000000" w:rsidDel="00000000" w:rsidP="00000000" w:rsidRDefault="00000000" w:rsidRPr="00000000" w14:paraId="00000008">
      <w:pPr>
        <w:pStyle w:val="Heading1"/>
        <w:pBdr>
          <w:bottom w:color="0f4c57" w:space="2" w:sz="6" w:val="single"/>
        </w:pBdr>
        <w:spacing w:after="9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4c57"/>
          <w:sz w:val="26"/>
          <w:szCs w:val="26"/>
          <w:rtl w:val="0"/>
        </w:rPr>
        <w:t xml:space="preserve">1.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68" w:lineRule="auto"/>
        <w:rPr/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Proponemos una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0"/>
          <w:szCs w:val="20"/>
          <w:rtl w:val="0"/>
        </w:rPr>
        <w:t xml:space="preserve">plataforma web multiempresa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 que convierte la calculadora manual del ITEC en un servicio que cada empresa usa por sí misma. </w:t>
      </w:r>
      <w:r w:rsidDel="00000000" w:rsidR="00000000" w:rsidRPr="00000000">
        <w:rPr>
          <w:color w:val="10282d"/>
          <w:rtl w:val="0"/>
        </w:rPr>
        <w:t xml:space="preserve">La empresa se registra, carga sus consumos y el sistema ofrece un asistente de carga multicanal que incluye el tipeo manual del documento histórico anual, la importación de planillas masivas (CSV/Excel) y el autocompletado inteligente mediante extracción de datos (OCR) del PDF de respaldo. El ITEC audita cada declaración y, una vez aprobada, la plataforma emite el reporte final, los gráficos y el certificado oficial, con recomendaciones de reducción para la empresa.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68" w:lineRule="auto"/>
        <w:rPr/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Además, el ITEC actualiza los factores de emisión y accede a un observatorio con los totales agregados de la ciudad. Cada empresa ve únicamente sus propios datos (esquema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0"/>
          <w:szCs w:val="20"/>
          <w:rtl w:val="0"/>
        </w:rPr>
        <w:t xml:space="preserve">multi-tenant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). El motor de cálculo aplica siempre los factores vigentes y conserva la versión usada en cada medición, de modo que un reporte emitido no cambia cuando los factores se actualizan.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Qué se mide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0" w:line="268" w:lineRule="auto"/>
        <w:rPr/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El cálculo sigue la clasificación por alcances del GHG Protocol, que evita la doble contabilidad: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100"/>
        <w:gridCol w:w="4638"/>
        <w:tblGridChange w:id="0">
          <w:tblGrid>
            <w:gridCol w:w="1900"/>
            <w:gridCol w:w="3100"/>
            <w:gridCol w:w="4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carga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1. Emisiones directas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Fuentes que la empresa posee o controla.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="250" w:lineRule="auto"/>
              <w:rPr/>
            </w:pPr>
            <w:r w:rsidDel="00000000" w:rsidR="00000000" w:rsidRPr="00000000">
              <w:rPr>
                <w:color w:val="10282d"/>
                <w:sz w:val="18"/>
                <w:szCs w:val="18"/>
                <w:rtl w:val="0"/>
              </w:rPr>
              <w:t xml:space="preserve">Resumen anual de Gas natural (Ecogas u otra) para calderas y hornos; resúmenes de tarjeta de flota para nafta, gasoil y GNC; fugas de gases refrigerantes.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2. Energía comprada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Emisiones de generar la electricidad que la empresa consume.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Consumo eléctrico desglosado: kWh de la red (factura de EPEC) y kWh renovables autogenerados (reporte del inversor).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3. Otras indirectas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Emisiones de la cadena de valor, fuera del control de la empresa.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Residuos enviados a disposición final, viajes de empleados y logística tercerizada. Se puede omitir y completar más adelante.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Matriz eléctrica: energía de red y renovable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="268" w:lineRule="auto"/>
        <w:rPr/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La matriz eléctrica es el desglose porcentual de las fuentes de energía que consume la empresa. La plataforma distingue la energía de la red pública, con una huella asociada a su generación, de la renovable propia (por ejemplo, paneles solares) o contratada, con un factor de emisión propio que define el ITEC.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0"/>
          <w:szCs w:val="20"/>
          <w:rtl w:val="0"/>
        </w:rPr>
        <w:t xml:space="preserve">Para las empresas: 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premia la inversión en infraestructura sustentable. Los kWh renovables reducen el Alcance 2 y sirven como evidencia para certificaciones y reportes ESG.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0"/>
          <w:szCs w:val="20"/>
          <w:rtl w:val="0"/>
        </w:rPr>
        <w:t xml:space="preserve">Para el ITEC: 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pasa de medir cuánta electricidad se consume a auditar cómo avanza la transición energética, con estadísticas de la ciudad para diseñar incentivos más precisos.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0"/>
          <w:szCs w:val="20"/>
          <w:rtl w:val="0"/>
        </w:rPr>
        <w:t xml:space="preserve">Carga: 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el Alcance 2 se declara en dos campos: kWh facturados por EPEC (con la factura en PDF) y kWh autogenerados (con la captura del reporte del inversor solar).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0"/>
          <w:szCs w:val="20"/>
          <w:rtl w:val="0"/>
        </w:rPr>
        <w:t xml:space="preserve">Cálculo: 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el motor multiplica cada tramo por su factor de la tabla de factores de emisión y suma ambos. El factor renovable es un registro configurable, no un valor fijo en el código: el ITEC lo define en 0 (criterio de mercado tradicional) o con un coeficiente de ciclo de vida (por ejemplo, 0,04 kg CO₂e/kWh), desde su panel y sin tocar el motor.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0"/>
          <w:szCs w:val="20"/>
          <w:rtl w:val="0"/>
        </w:rPr>
        <w:t xml:space="preserve">Visualización: 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dona “Energía convencional vs. renovable” como KPI central del dashboard y del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1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Usuarios y estándares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Empresa: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registra su organización, carga datos con su respaldo, consulta su panel y descarga los reportes emitidos.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ITEC (súper administrador):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audita y aprueba las declaraciones, gestiona empresas, actualiza factores de emisión y consulta el observatorio de mediciones aprobadas, segmentado por sector y tamaño, para orientar políticas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Estándares y fuentes: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GHG Protocol (Estándar Corporativo de Contabilidad y Reporte) e ISO 14064-1 como marco metodológico. Factores de emisión de la Secretaría de Energía de la Nación (red eléctrica) y tablas públicas como DEFRA y EPA, a confirmar con el ITEC.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Enfoque técnico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monolito modular en Java (Spring Boot), con API REST y autenticación JWT. Los módulos</w:t>
      </w:r>
      <w:r w:rsidDel="00000000" w:rsidR="00000000" w:rsidRPr="00000000">
        <w:rPr>
          <w:color w:val="10282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tienen límites claros y el motor de cálculo queda aislado y probado contra la calculadora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Base de datos: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PostgreSQL versionada con Flyway. Los archivos de respaldo se guardan en almacenamiento persistente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Angular con TypeScript y Tailwind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Infraestructura: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backend y frontend containerizados con Docker y desplegados en la misma VPS, con NGINX como reverse proxy y SSL (Let's Encrypt). Las empresas acceden mediante un dominio propio del proyecto, por ejemplo: calculadora.huella.itec.com.ar. Integración y despliegue continuos con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70" w:line="268" w:lineRule="auto"/>
        <w:rPr/>
      </w:pPr>
      <w:r w:rsidDel="00000000" w:rsidR="00000000" w:rsidRPr="00000000">
        <w:rPr>
          <w:color w:val="10282d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l flujo del sistema incluye</w:t>
      </w:r>
      <w:r w:rsidDel="00000000" w:rsidR="00000000" w:rsidRPr="00000000">
        <w:rPr>
          <w:color w:val="10282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una etapa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0"/>
          <w:szCs w:val="20"/>
          <w:rtl w:val="0"/>
        </w:rPr>
        <w:t xml:space="preserve">Auditoría y Respaldo</w:t>
      </w: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, en tres pasos: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1000"/>
        <w:gridCol w:w="5088"/>
        <w:gridCol w:w="1900"/>
        <w:tblGridChange w:id="0">
          <w:tblGrid>
            <w:gridCol w:w="1650"/>
            <w:gridCol w:w="1000"/>
            <w:gridCol w:w="5088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ocurre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de la medición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1. Carga con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="250" w:lineRule="auto"/>
              <w:rPr/>
            </w:pPr>
            <w:r w:rsidDel="00000000" w:rsidR="00000000" w:rsidRPr="00000000">
              <w:rPr>
                <w:color w:val="10282d"/>
                <w:sz w:val="18"/>
                <w:szCs w:val="18"/>
                <w:rtl w:val="0"/>
              </w:rPr>
              <w:t xml:space="preserve">Al declarar un consumo, el formulario exige adjuntar el respaldo documental (ej. histórico anual de EPEC). La plataforma permite la carga manual unificada, la importación de plantillas CSV o la extracción automática (OCR) del valor desde el PDF. Al finalizar, el sistema calcula la huella, pero el reporte queda en estado “Pendiente de validación”.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2.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ITEC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Los administradores acceden a una bandeja de entrada, abren la declaración y cruzan el valor tipeado contra el PDF adjunto. Si coinciden, aprueban la medición; si no, la devuelven a la empresa con observaciones.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Aprobada u observada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3. Emisión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Tras la aprobación, el sistema congela los datos para evitar modificaciones futuras y emite el reporte final, los gráficos y el certificado oficial.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Emitida, con datos congelados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68" w:lineRule="auto"/>
        <w:rPr>
          <w:rFonts w:ascii="Arial" w:cs="Arial" w:eastAsia="Arial" w:hAnsi="Arial"/>
          <w:color w:val="10282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Este flujo garantiza la transparencia, la trazabilidad y la veracidad de las métricas ambientales reportadas a la Municipalidad.</w:t>
      </w:r>
    </w:p>
    <w:p w:rsidR="00000000" w:rsidDel="00000000" w:rsidP="00000000" w:rsidRDefault="00000000" w:rsidRPr="00000000" w14:paraId="0000003F">
      <w:pPr>
        <w:pStyle w:val="Heading1"/>
        <w:pBdr>
          <w:bottom w:color="0f4c57" w:space="2" w:sz="6" w:val="single"/>
        </w:pBdr>
        <w:spacing w:after="90" w:before="20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f4c57"/>
          <w:sz w:val="26"/>
          <w:szCs w:val="26"/>
          <w:rtl w:val="0"/>
        </w:rPr>
        <w:t xml:space="preserve">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68" w:lineRule="auto"/>
        <w:rPr/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Automatizar y digitalizar la estimación de la huella de carbono a partir de la calculadora del ITEC, para que las empresas de Córdoba puedan medir sus emisiones de forma autónoma y el ITEC pueda auditar y certificar esas mediciones, con información agregada y confiable del territorio.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color w:val="10282d"/>
          <w:rtl w:val="0"/>
        </w:rPr>
        <w:t xml:space="preserve">Reemplazar la carga manual por un asistente guiado multicanal: carga del documento histórico de consumo, importación masiva (CSV/Excel) y autocompletado inteligente mediante extracción de datos (OCR) del PDF.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Reproducir con exactitud las fórmulas y tablas de la calculadora del ITEC dentro de un motor de cálculo 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Diferenciar la energía de red de la renovable en el Alcance 2, para reflejar la inversión en energías limpias.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Implementar el flujo de Auditoría y Respaldo: bandeja de revisión para el ITEC, aprobación, congelamiento de datos y emisión del certificado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Permitir que los técnicos del ITEC actualicen los factores de emisión desde una interfaz, con historial de versiones y sin intervención del equipo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Garantizar la separación de datos entre empresas y ofrecer al ITEC un observatorio con totales agregados por sector y tamaño.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Validar la plataforma con una prueba piloto de 2 o 3 empresas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Cómo sabremos que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El motor devuelve los mismos resultados que la planilla original con los mismos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Solo una medición aprobada por el ITEC se congela y emite el certificado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Las empresas piloto completan una declaración con su respaldo sin asistencia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82d"/>
          <w:sz w:val="20"/>
          <w:szCs w:val="20"/>
          <w:u w:val="none"/>
          <w:shd w:fill="auto" w:val="clear"/>
          <w:vertAlign w:val="baseline"/>
          <w:rtl w:val="0"/>
        </w:rPr>
        <w:t xml:space="preserve">El ITEC actualiza un factor de emisión y lo publica sin intervención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0f4c57" w:space="2" w:sz="6" w:val="single"/>
        </w:pBdr>
        <w:spacing w:after="90" w:before="20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f4c57"/>
          <w:sz w:val="26"/>
          <w:szCs w:val="26"/>
          <w:rtl w:val="0"/>
        </w:rPr>
        <w:t xml:space="preserve">. Etapas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70" w:line="268" w:lineRule="auto"/>
        <w:rPr>
          <w:rFonts w:ascii="Arial" w:cs="Arial" w:eastAsia="Arial" w:hAnsi="Arial"/>
          <w:color w:val="10282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Estimamos 2 meses (8 semanas), plazo preliminar a ajustar cuando se confirme el del desafío.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0"/>
        <w:gridCol w:w="1100"/>
        <w:gridCol w:w="4088"/>
        <w:gridCol w:w="2700"/>
        <w:tblGridChange w:id="0">
          <w:tblGrid>
            <w:gridCol w:w="1750"/>
            <w:gridCol w:w="1100"/>
            <w:gridCol w:w="4088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0f4c5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1. Levantamiento y normalización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Mapeo de fórmulas, equivalencias y factores de la calculadora del ITEC. Definición con el ITEC de los estados de la medición y los criterios de auditoría. Diseño del modelo de datos (empresa, período, datos de actividad, evidencia, factor de emisión, resultado). Ajuste de mockups.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Modelo de datos, especificación del motor de cálculo y del flujo de validación, mockups validados.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2. Backend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2 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Monolito modular en Java (Spring Boot). Migraciones en PostgreSQL con Flyway. API REST con JWT y aislamiento por empresa. Motor de cálculo con los factores vigentes, que trata por separado la energía de red y la renovable. Carga de evidencias y flujo de estados con congelamiento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API, motor de cálculo y flujo de auditoría funcionando.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3.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3 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Interfaces en Angular según los mockups: registro, panel, asistente de carga con adjunto de respaldo, desglose de energía y validaciones estrictas, y reporte con dona de energía convencional vs. renovable. Backoffice del ITEC con bandeja de revisión, factores y observatorio.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Aplicación web navegable y conectada a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4. Testing y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6 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Pruebas unitarias del motor contra los resultados de la planilla original. Pruebas del flujo de validación, incluido que una medición aprobada no pueda modificarse. Pipelines de build, test y despliegue en GitHub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Motor y flujo validados, pipeline automatizado.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shd w:fill="e8ef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282d"/>
                <w:sz w:val="18"/>
                <w:szCs w:val="18"/>
                <w:rtl w:val="0"/>
              </w:rPr>
              <w:t xml:space="preserve">5. Despliegue y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Despliegue de backend y frontend en contenedores Docker en la misma VPS, con NGINX, dominio propio y SSL (Let's Encrypt). Piloto con 2 o 3 empresas y capacitación de los técnicos del ITEC en revisión y factores.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6d9" w:space="0" w:sz="4" w:val="single"/>
              <w:left w:color="cbd6d9" w:space="0" w:sz="4" w:val="single"/>
              <w:bottom w:color="cbd6d9" w:space="0" w:sz="4" w:val="single"/>
              <w:right w:color="cbd6d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line="2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0282d"/>
                <w:sz w:val="18"/>
                <w:szCs w:val="18"/>
                <w:rtl w:val="0"/>
              </w:rPr>
              <w:t xml:space="preserve">Plataforma en producción y piloto realizado.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Evolución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="268" w:lineRule="auto"/>
        <w:rPr/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Fuera del alcance inicial: lectura automática de facturas de EPEC mediante OCR, que además facilitaría el cruce de datos en la auditoría; integración con sistemas ERP y contables; adaptación a marcos como CSRD, SBTi o CBAM; y una cobertura más profunda del Alcance 3 en la cadena de suministro.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0282d"/>
          <w:sz w:val="21"/>
          <w:szCs w:val="21"/>
          <w:rtl w:val="0"/>
        </w:rPr>
        <w:t xml:space="preserve">Puntos a validar con el ITEC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="268" w:lineRule="auto"/>
        <w:rPr/>
      </w:pPr>
      <w:r w:rsidDel="00000000" w:rsidR="00000000" w:rsidRPr="00000000">
        <w:rPr>
          <w:rFonts w:ascii="Arial" w:cs="Arial" w:eastAsia="Arial" w:hAnsi="Arial"/>
          <w:color w:val="10282d"/>
          <w:sz w:val="20"/>
          <w:szCs w:val="20"/>
          <w:rtl w:val="0"/>
        </w:rPr>
        <w:t xml:space="preserve">Acceso a la calculadora original y a sus fórmulas; fuentes y vigencia de los factores de emisión; criterios de aprobación y devolución de declaraciones, tiempos de revisión y formato del certificado oficial; criterio del factor renovable (0 o ciclo de vida) y tratamiento de la energía contratada; selección de las empresas piloto.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00" w:top="100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>
        <w:rFonts w:ascii="Arial" w:cs="Arial" w:eastAsia="Arial" w:hAnsi="Arial"/>
        <w:color w:val="4b626a"/>
        <w:sz w:val="16"/>
        <w:szCs w:val="16"/>
        <w:rtl w:val="0"/>
      </w:rPr>
      <w:t xml:space="preserve">  Página </w:t>
    </w:r>
    <w:r w:rsidDel="00000000" w:rsidR="00000000" w:rsidRPr="00000000">
      <w:rPr>
        <w:rFonts w:ascii="Arial" w:cs="Arial" w:eastAsia="Arial" w:hAnsi="Arial"/>
        <w:color w:val="4b626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b626a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4b626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4c57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0282d"/>
      <w:sz w:val="21"/>
      <w:szCs w:val="21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