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Sector guidance · financial services</w:t>
      </w:r>
    </w:p>
    <w:p>
      <w:pPr>
        <w:spacing w:after="60"/>
        <w:jc w:val="center"/>
      </w:pPr>
      <w:r>
        <w:rPr>
          <w:b/>
          <w:bCs/>
          <w:color w:val="1B1A18"/>
          <w:sz w:val="38"/>
          <w:szCs w:val="38"/>
        </w:rPr>
        <w:t xml:space="preserve">Why This Sector Reaches the Problem First</w:t>
      </w:r>
    </w:p>
    <w:p>
      <w:pPr>
        <w:spacing w:after="150"/>
        <w:jc w:val="center"/>
      </w:pPr>
      <w:r>
        <w:rPr>
          <w:i/>
          <w:iCs/>
          <w:color w:val="6E6A62"/>
          <w:sz w:val="23"/>
          <w:szCs w:val="23"/>
        </w:rPr>
        <w:t xml:space="preserve">The six properties against the existing prudential and conduct apparatus</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MZ-FIN-001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regulatory, or investment advice. </w:t>
            </w:r>
            <w:r>
              <w:rPr>
                <w:color w:val="1B1A18"/>
                <w:sz w:val="20"/>
                <w:szCs w:val="20"/>
              </w:rPr>
              <w:t xml:space="preserve">This is practice-support material written by an engineer, not a lawyer, compliance officer, or supervisor. It does not state the law or supervisory expectation of any jurisdiction. Every instrument, principle, and date named here must be checked against the text in force where the institution operates — several are moving in 2026. Its purpose is to supply mechanism: how systems fail at boundaries, and what evidence exists when they do.</w:t>
            </w:r>
          </w:p>
          <w:p>
            <w:pPr>
              <w:spacing w:after="0" w:line="264"/>
            </w:pPr>
            <w:r>
              <w:rPr>
                <w:b/>
                <w:bCs/>
                <w:color w:val="1B1A18"/>
                <w:sz w:val="20"/>
                <w:szCs w:val="20"/>
              </w:rPr>
              <w:t xml:space="preserve">Declaration of interest. </w:t>
            </w:r>
            <w:r>
              <w:rPr>
                <w:color w:val="1B1A18"/>
                <w:sz w:val="20"/>
                <w:szCs w:val="20"/>
              </w:rPr>
              <w:t xml:space="preserve">The author builds infrastructure of the kind this material argues for. The tests are derived from stated requirements rather than calibrated to any product, and are meant to be run against the author’s own systems first. Coined terms are unencumbered — not trademarked, not licensed, free to adopt or discard.</w:t>
            </w:r>
          </w:p>
        </w:tc>
      </w:tr>
    </w:tbl>
    <w:p>
      <w:pPr>
        <w:pStyle w:val="Heading1"/>
        <w:spacing w:after="130" w:before="300"/>
      </w:pPr>
      <w:r>
        <w:rPr>
          <w:b/>
          <w:bCs/>
          <w:color w:val="33302B"/>
          <w:sz w:val="29"/>
          <w:szCs w:val="29"/>
        </w:rPr>
        <w:t xml:space="preserve">1 · The sector is not early. It is ahead, and that is the problem</w:t>
      </w:r>
    </w:p>
    <w:p>
      <w:pPr>
        <w:spacing w:after="120" w:before="0" w:line="276"/>
      </w:pPr>
      <w:r>
        <w:rPr>
          <w:b w:val="false"/>
          <w:bCs w:val="false"/>
          <w:i w:val="false"/>
          <w:iCs w:val="false"/>
          <w:color w:val="1B1A18"/>
          <w:sz w:val="20"/>
          <w:szCs w:val="20"/>
        </w:rPr>
        <w:t xml:space="preserve">Financial services has the most developed governance apparatus of any commercial sector: three lines of defence, model risk management, operational resilience regulation, risk data aggregation principles, algorithmic trading controls, and a supervisory relationship that involves examination rather than self-attestation. It also has the deepest agentic adoption.</w:t>
      </w:r>
    </w:p>
    <w:p>
      <w:pPr>
        <w:spacing w:after="120" w:before="0" w:line="276"/>
      </w:pPr>
      <w:r>
        <w:rPr>
          <w:b w:val="false"/>
          <w:bCs w:val="false"/>
          <w:i w:val="false"/>
          <w:iCs w:val="false"/>
          <w:color w:val="1B1A18"/>
          <w:sz w:val="20"/>
          <w:szCs w:val="20"/>
        </w:rPr>
        <w:t xml:space="preserve">In the 2026 CCAF global survey of 628 organisations across 151 jurisdictions, agentic AI was in active adoption among 52% of industry respondents, with 23% already at a scaling or transforming stage, and 81% expecting it to be meaningfully achieved by 2030. That combination — mature controls, deep adoption — means the sector will discover the gap between the two before anyone else does.</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finding that should decide how seriously this is read. </w:t>
            </w:r>
            <w:r>
              <w:rPr>
                <w:color w:val="1B1A18"/>
                <w:sz w:val="20"/>
                <w:szCs w:val="20"/>
              </w:rPr>
              <w:t xml:space="preserve">The same survey defines </w:t>
            </w:r>
            <w:r>
              <w:rPr>
                <w:i/>
                <w:iCs/>
                <w:color w:val="1B1A18"/>
                <w:sz w:val="20"/>
                <w:szCs w:val="20"/>
              </w:rPr>
              <w:t xml:space="preserve">collective forgetting</w:t>
            </w:r>
            <w:r>
              <w:rPr>
                <w:color w:val="1B1A18"/>
                <w:sz w:val="20"/>
                <w:szCs w:val="20"/>
              </w:rPr>
              <w:t xml:space="preserve"> as a systemic risk in which organisations lose the institutional memory and the capability to execute processes manually if required, and ranks loss of human oversight and collective forgetting the third highest AI risk overall — 51% of all respondents, 55% of industry, and 60% of traditional financial institutions, against 42% of regulators. Incumbents, who have the most process history to lose, are the most worried. Their supervisors are the least.</w:t>
            </w:r>
          </w:p>
        </w:tc>
      </w:tr>
    </w:tbl>
    <w:p>
      <w:pPr>
        <w:pStyle w:val="Heading1"/>
        <w:spacing w:after="130" w:before="300"/>
      </w:pPr>
      <w:r>
        <w:rPr>
          <w:b/>
          <w:bCs/>
          <w:color w:val="33302B"/>
          <w:sz w:val="29"/>
          <w:szCs w:val="29"/>
        </w:rPr>
        <w:t xml:space="preserve">2 · The apparatus already asks for five of the six properties</w:t>
      </w:r>
    </w:p>
    <w:p>
      <w:pPr>
        <w:spacing w:after="120" w:before="0" w:line="276"/>
      </w:pPr>
      <w:r>
        <w:rPr>
          <w:b w:val="false"/>
          <w:bCs w:val="false"/>
          <w:i w:val="false"/>
          <w:iCs w:val="false"/>
          <w:color w:val="1B1A18"/>
          <w:sz w:val="20"/>
          <w:szCs w:val="20"/>
        </w:rPr>
        <w:t xml:space="preserve">This is the argument to make inside a bank, because it requires nobody to adopt a new framework. The obligations exist. What is missing is that they were written for systems with a locus — a place where the obligation can be discharged and examined — and agentic deployments distribute work across systems where no such place exists.</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200"/>
        <w:gridCol w:w="3700"/>
        <w:gridCol w:w="4180"/>
      </w:tblGrid>
      <w:tr>
        <w:trPr>
          <w:tblHeader/>
        </w:trPr>
        <w:tc>
          <w:tcPr>
            <w:tcW w:type="dxa" w:w="22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Property</w:t>
            </w:r>
          </w:p>
        </w:tc>
        <w:tc>
          <w:tcPr>
            <w:tcW w:type="dxa" w:w="3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Where the sector already requires it</w:t>
            </w:r>
          </w:p>
        </w:tc>
        <w:tc>
          <w:tcPr>
            <w:tcW w:type="dxa" w:w="41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agentic deployment breaks</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Context</w:t>
            </w:r>
          </w:p>
        </w:tc>
        <w:tc>
          <w:tcPr>
            <w:tcW w:type="dxa" w:w="37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BCBS 239 principles on accuracy, completeness and data lineage; suitability and appropriateness obligations in conduct regulation.</w:t>
            </w:r>
          </w:p>
        </w:tc>
        <w:tc>
          <w:tcPr>
            <w:tcW w:type="dxa" w:w="41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Lineage is required for data. Nothing requires that the condition making a figure mean what it means travels with it between systems. A provisional exposure acted on as final is BCBS 239 compliant and wrong.</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Authority</w:t>
            </w:r>
          </w:p>
        </w:tc>
        <w:tc>
          <w:tcPr>
            <w:tcW w:type="dxa" w:w="37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Delegated authority frameworks, mandates and limits, four-eyes principles, senior manager accountability regimes.</w:t>
            </w:r>
          </w:p>
        </w:tc>
        <w:tc>
          <w:tcPr>
            <w:tcW w:type="dxa" w:w="41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Mandates are recorded for people. An agent acts under an integration account whose entitlements were set years ago by someone who has left, and no mandate record covers it.</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Accountability</w:t>
            </w:r>
          </w:p>
        </w:tc>
        <w:tc>
          <w:tcPr>
            <w:tcW w:type="dxa" w:w="37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Audit trail requirements, transaction reporting, record-keeping under conduct rules, SOX and ICFR where listed.</w:t>
            </w:r>
          </w:p>
        </w:tc>
        <w:tc>
          <w:tcPr>
            <w:tcW w:type="dxa" w:w="41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trail records what each system did. It does not record who authorised the crossing, or which version of the limit was in force when the work passed.</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Coordination</w:t>
            </w:r>
          </w:p>
        </w:tc>
        <w:tc>
          <w:tcPr>
            <w:tcW w:type="dxa" w:w="37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Risk aggregation across entities and books; group-wide risk appetite; the whole point of BCBS 239.</w:t>
            </w:r>
          </w:p>
        </w:tc>
        <w:tc>
          <w:tcPr>
            <w:tcW w:type="dxa" w:w="41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Two systems answer the same exposure question differently, and reconciliation becomes permanent. The sector has normalised this and calls it data quality.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Execution coherence</w:t>
            </w:r>
          </w:p>
        </w:tc>
        <w:tc>
          <w:tcPr>
            <w:tcW w:type="dxa" w:w="37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Pre-trade controls and kill functionality under algorithmic trading rules; hard limits; prohibited-transaction screening.</w:t>
            </w:r>
          </w:p>
        </w:tc>
        <w:tc>
          <w:tcPr>
            <w:tcW w:type="dxa" w:w="41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kill switch is an enforcement point, which is why algorithmic trading rules work. Almost no agentic deployment has the equivalent, and many rely on instructions given to a model.</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Institutional memory</w:t>
            </w:r>
          </w:p>
        </w:tc>
        <w:tc>
          <w:tcPr>
            <w:tcW w:type="dxa" w:w="37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Record retention periods; model documentation; the supervisory expectation that a firm can reconstruct a decision.</w:t>
            </w:r>
          </w:p>
        </w:tc>
        <w:tc>
          <w:tcPr>
            <w:tcW w:type="dxa" w:w="41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Retention preserves records. It does not preserve the ability to execute the process by hand when the automated path fails — which is the survey’s definition of collective forgetting.</w:t>
            </w:r>
          </w:p>
        </w:tc>
      </w:tr>
    </w:tbl>
    <w:p>
      <w:pPr>
        <w:spacing w:after="140"/>
      </w:pPr>
    </w:p>
    <w:p>
      <w:pPr>
        <w:spacing w:after="120" w:before="0" w:line="276"/>
      </w:pPr>
      <w:r>
        <w:rPr>
          <w:b w:val="false"/>
          <w:bCs w:val="false"/>
          <w:i w:val="false"/>
          <w:iCs w:val="false"/>
          <w:color w:val="1B1A18"/>
          <w:sz w:val="20"/>
          <w:szCs w:val="20"/>
        </w:rPr>
        <w:t xml:space="preserve">The one property with no existing home is authority as machine-consultable data. Everything else has an instrument that already asks for it and was drafted before work crossed system boundaries at machine speed.</w:t>
      </w:r>
    </w:p>
    <w:p>
      <w:pPr>
        <w:pStyle w:val="Heading1"/>
        <w:spacing w:after="130" w:before="300"/>
      </w:pPr>
      <w:r>
        <w:rPr>
          <w:b/>
          <w:bCs/>
          <w:color w:val="33302B"/>
          <w:sz w:val="29"/>
          <w:szCs w:val="29"/>
        </w:rPr>
        <w:t xml:space="preserve">3 · BCBS 239 as the honest precedent</w:t>
      </w:r>
    </w:p>
    <w:p>
      <w:pPr>
        <w:spacing w:after="120" w:before="0" w:line="276"/>
      </w:pPr>
      <w:r>
        <w:rPr>
          <w:b w:val="false"/>
          <w:bCs w:val="false"/>
          <w:i w:val="false"/>
          <w:iCs w:val="false"/>
          <w:color w:val="1B1A18"/>
          <w:sz w:val="20"/>
          <w:szCs w:val="20"/>
        </w:rPr>
        <w:t xml:space="preserve">The principles for effective risk data aggregation and risk reporting were issued in 2013 and required accuracy, integrity, completeness, timeliness, adaptability and lineage. Successive supervisory progress reviews have found adoption incomplete more than a decade later, at institutions with substantial budgets and genuine intent.</w:t>
      </w:r>
    </w:p>
    <w:p>
      <w:pPr>
        <w:spacing w:after="120" w:before="0" w:line="276"/>
      </w:pPr>
      <w:r>
        <w:rPr>
          <w:b w:val="false"/>
          <w:bCs w:val="false"/>
          <w:i w:val="false"/>
          <w:iCs w:val="false"/>
          <w:color w:val="1B1A18"/>
          <w:sz w:val="20"/>
          <w:szCs w:val="20"/>
        </w:rPr>
        <w:t xml:space="preserve">The reason is worth stating plainly inside the institution, because it is the whole argument in one sentence: those principles asked for properties that the systems architecture did not carry, and people carried them instead. Analysts reconciled. Controllers interpreted. Risk staff knew which figure to trust. The principles were satisfied by human effort at every boundary, and the effort was invisible because it was salaried.</w:t>
      </w:r>
    </w:p>
    <w:p>
      <w:pPr>
        <w:spacing w:after="120" w:before="0" w:line="276"/>
      </w:pPr>
      <w:r>
        <w:rPr>
          <w:b w:val="false"/>
          <w:bCs w:val="false"/>
          <w:i w:val="false"/>
          <w:iCs w:val="false"/>
          <w:color w:val="1B1A18"/>
          <w:sz w:val="20"/>
          <w:szCs w:val="20"/>
        </w:rPr>
        <w:t xml:space="preserve">Agentic deployment removes those people from the boundary. An institution that never closed its BCBS 239 gaps in thirteen years of trying is now removing the layer that was masking them. That is not a new risk. It is an old risk becoming visible, and the sector’s own supervisory record documents it.</w:t>
      </w:r>
    </w:p>
    <w:p>
      <w:pPr>
        <w:pStyle w:val="Heading1"/>
        <w:spacing w:after="130" w:before="300"/>
      </w:pPr>
      <w:r>
        <w:rPr>
          <w:b/>
          <w:bCs/>
          <w:color w:val="33302B"/>
          <w:sz w:val="29"/>
          <w:szCs w:val="29"/>
        </w:rPr>
        <w:t xml:space="preserve">4 · The three lines, and what changes in each</w:t>
      </w:r>
    </w:p>
    <w:p>
      <w:pPr>
        <w:spacing w:after="70" w:before="160"/>
      </w:pPr>
      <w:r>
        <w:rPr>
          <w:b/>
          <w:bCs/>
          <w:color w:val="57534A"/>
          <w:sz w:val="20"/>
          <w:szCs w:val="20"/>
        </w:rPr>
        <w:t xml:space="preserve">First line — the business and its engineers</w:t>
      </w:r>
    </w:p>
    <w:p>
      <w:pPr>
        <w:spacing w:after="120" w:before="0" w:line="276"/>
      </w:pPr>
      <w:r>
        <w:rPr>
          <w:b w:val="false"/>
          <w:bCs w:val="false"/>
          <w:i w:val="false"/>
          <w:iCs w:val="false"/>
          <w:color w:val="1B1A18"/>
          <w:sz w:val="20"/>
          <w:szCs w:val="20"/>
        </w:rPr>
        <w:t xml:space="preserve">Owns the boundaries. Every crossing is designed here or nowhere. The useful demand is not a control attestation but a demonstration: pass one real item of work between two systems and inspect what arrives.</w:t>
      </w:r>
    </w:p>
    <w:p>
      <w:pPr>
        <w:spacing w:after="70" w:before="160"/>
      </w:pPr>
      <w:r>
        <w:rPr>
          <w:b/>
          <w:bCs/>
          <w:color w:val="57534A"/>
          <w:sz w:val="20"/>
          <w:szCs w:val="20"/>
        </w:rPr>
        <w:t xml:space="preserve">Second line — risk, compliance, model risk</w:t>
      </w:r>
    </w:p>
    <w:p>
      <w:pPr>
        <w:spacing w:after="120" w:before="0" w:line="276"/>
      </w:pPr>
      <w:r>
        <w:rPr>
          <w:b w:val="false"/>
          <w:bCs w:val="false"/>
          <w:i w:val="false"/>
          <w:iCs w:val="false"/>
          <w:color w:val="1B1A18"/>
          <w:sz w:val="20"/>
          <w:szCs w:val="20"/>
        </w:rPr>
        <w:t xml:space="preserve">Owns the question nobody currently answers: can this control be implemented as written, and what evidence will exist if it is? Model risk management is the function with the strongest claim here and the weakest current fit — see MZ-FIN-002.</w:t>
      </w:r>
    </w:p>
    <w:p>
      <w:pPr>
        <w:spacing w:after="70" w:before="160"/>
      </w:pPr>
      <w:r>
        <w:rPr>
          <w:b/>
          <w:bCs/>
          <w:color w:val="57534A"/>
          <w:sz w:val="20"/>
          <w:szCs w:val="20"/>
        </w:rPr>
        <w:t xml:space="preserve">Third line — internal audit</w:t>
      </w:r>
    </w:p>
    <w:p>
      <w:pPr>
        <w:spacing w:after="120" w:before="0" w:line="276"/>
      </w:pPr>
      <w:r>
        <w:rPr>
          <w:b w:val="false"/>
          <w:bCs w:val="false"/>
          <w:i w:val="false"/>
          <w:iCs w:val="false"/>
          <w:color w:val="1B1A18"/>
          <w:sz w:val="20"/>
          <w:szCs w:val="20"/>
        </w:rPr>
        <w:t xml:space="preserve">Has the sharpest unmet need in the whole institution. Audit is being asked to assure agentic deployments with no procedure, and the nine tests are an audit programme requiring no source code, no model weights, and no training data. That last point is what makes it executable against a vendor-hosted system.</w:t>
      </w:r>
    </w:p>
    <w:p>
      <w:pPr>
        <w:pStyle w:val="Heading1"/>
        <w:spacing w:after="130" w:before="300"/>
      </w:pPr>
      <w:r>
        <w:rPr>
          <w:b/>
          <w:bCs/>
          <w:color w:val="33302B"/>
          <w:sz w:val="29"/>
          <w:szCs w:val="29"/>
        </w:rPr>
        <w:t xml:space="preserve">5 · The measurement problem, which is also a risk problem</w:t>
      </w:r>
    </w:p>
    <w:p>
      <w:pPr>
        <w:spacing w:after="120" w:before="0" w:line="276"/>
      </w:pPr>
      <w:r>
        <w:rPr>
          <w:b w:val="false"/>
          <w:bCs w:val="false"/>
          <w:i w:val="false"/>
          <w:iCs w:val="false"/>
          <w:color w:val="1B1A18"/>
          <w:sz w:val="20"/>
          <w:szCs w:val="20"/>
        </w:rPr>
        <w:t xml:space="preserve">55% of industry respondents and 63% of regulators reported difficulty measuring the value of AI deployment, rising to 76% among large financial institutions. Separately, 53% of industry respondents spend under USD 100,000 a year on AI while reporting high maturity in generative and agentic AI.</w:t>
      </w:r>
    </w:p>
    <w:p>
      <w:pPr>
        <w:spacing w:after="120" w:before="0" w:line="276"/>
      </w:pPr>
      <w:r>
        <w:rPr>
          <w:b w:val="false"/>
          <w:bCs w:val="false"/>
          <w:i w:val="false"/>
          <w:iCs w:val="false"/>
          <w:color w:val="1B1A18"/>
          <w:sz w:val="20"/>
          <w:szCs w:val="20"/>
        </w:rPr>
        <w:t xml:space="preserve">The survey’s own conclusion is the sentence to take to a risk committee: the measurement deficits that make AI value hard to capture may make AI risk equally hard to observe. An institution that cannot attribute cost per action cannot attribute exposure per action either, and both come from the same absent record.</w:t>
      </w:r>
    </w:p>
    <w:p>
      <w:pPr>
        <w:pStyle w:val="Heading1"/>
        <w:spacing w:after="130" w:before="300"/>
      </w:pPr>
      <w:r>
        <w:rPr>
          <w:b/>
          <w:bCs/>
          <w:color w:val="33302B"/>
          <w:sz w:val="29"/>
          <w:szCs w:val="29"/>
        </w:rPr>
        <w:t xml:space="preserve">6 · Where to start</w:t>
      </w:r>
    </w:p>
    <w:p>
      <w:pPr>
        <w:pStyle w:val="ListParagraph"/>
        <w:numPr>
          <w:ilvl w:val="0"/>
          <w:numId w:val="2"/>
        </w:numPr>
        <w:spacing w:after="70" w:line="276"/>
      </w:pPr>
      <w:r>
        <w:rPr>
          <w:b/>
          <w:bCs/>
          <w:color w:val="1B1A18"/>
          <w:sz w:val="20"/>
          <w:szCs w:val="20"/>
        </w:rPr>
        <w:t xml:space="preserve">Run the address test on the institution’s hard limits. </w:t>
      </w:r>
      <w:r>
        <w:rPr>
          <w:color w:val="1B1A18"/>
          <w:sz w:val="20"/>
          <w:szCs w:val="20"/>
        </w:rPr>
        <w:t xml:space="preserve">Take five rules that admit no exception — a jurisdictional transfer prohibition, a sanctions screen, an approval ceiling, a segregation requirement, a prohibited-instrument rule — and ask where each is physically enforced in any agentic path. Expect at least one answer to be a prompt.</w:t>
      </w:r>
    </w:p>
    <w:p>
      <w:pPr>
        <w:pStyle w:val="ListParagraph"/>
        <w:numPr>
          <w:ilvl w:val="0"/>
          <w:numId w:val="2"/>
        </w:numPr>
        <w:spacing w:after="70" w:line="276"/>
      </w:pPr>
      <w:r>
        <w:rPr>
          <w:b/>
          <w:bCs/>
          <w:color w:val="1B1A18"/>
          <w:sz w:val="20"/>
          <w:szCs w:val="20"/>
        </w:rPr>
        <w:t xml:space="preserve">Run the last-month test on one live deployment. </w:t>
      </w:r>
      <w:r>
        <w:rPr>
          <w:color w:val="1B1A18"/>
          <w:sz w:val="20"/>
          <w:szCs w:val="20"/>
        </w:rPr>
        <w:t xml:space="preserve">One transaction from a month ago, full attribution by query, including the rule version then in force. This is the test that predicts the institution’s position in an examination or an incident.</w:t>
      </w:r>
    </w:p>
    <w:p>
      <w:pPr>
        <w:pStyle w:val="ListParagraph"/>
        <w:numPr>
          <w:ilvl w:val="0"/>
          <w:numId w:val="2"/>
        </w:numPr>
        <w:spacing w:after="70" w:line="276"/>
      </w:pPr>
      <w:r>
        <w:rPr>
          <w:b/>
          <w:bCs/>
          <w:color w:val="1B1A18"/>
          <w:sz w:val="20"/>
          <w:szCs w:val="20"/>
        </w:rPr>
        <w:t xml:space="preserve">Produce the dependency census. </w:t>
      </w:r>
      <w:r>
        <w:rPr>
          <w:color w:val="1B1A18"/>
          <w:sz w:val="20"/>
          <w:szCs w:val="20"/>
        </w:rPr>
        <w:t xml:space="preserve">Every party whose availability, pricing, or policy the deployment relies on. Under operational resilience regulation much of this is already required; the question is whether it exists as a maintained record or as a project.</w:t>
      </w:r>
    </w:p>
    <w:p>
      <w:pPr>
        <w:pStyle w:val="ListParagraph"/>
        <w:numPr>
          <w:ilvl w:val="0"/>
          <w:numId w:val="2"/>
        </w:numPr>
        <w:spacing w:after="70" w:line="276"/>
      </w:pPr>
      <w:r>
        <w:rPr>
          <w:b/>
          <w:bCs/>
          <w:color w:val="1B1A18"/>
          <w:sz w:val="20"/>
          <w:szCs w:val="20"/>
        </w:rPr>
        <w:t xml:space="preserve">Add the six properties as columns to the AI inventory. </w:t>
      </w:r>
      <w:r>
        <w:rPr>
          <w:color w:val="1B1A18"/>
          <w:sz w:val="20"/>
          <w:szCs w:val="20"/>
        </w:rPr>
        <w:t xml:space="preserve">Not a new register. Six columns on the existing one, so gaps are visible across the portfolio rather than case by case.</w:t>
      </w:r>
    </w:p>
    <w:p>
      <w:pPr>
        <w:pStyle w:val="Heading1"/>
        <w:spacing w:after="130" w:before="300"/>
      </w:pPr>
      <w:r>
        <w:rPr>
          <w:b/>
          <w:bCs/>
          <w:color w:val="33302B"/>
          <w:sz w:val="29"/>
          <w:szCs w:val="29"/>
        </w:rPr>
        <w:t xml:space="preserve">7 · Limits</w:t>
      </w:r>
    </w:p>
    <w:p>
      <w:pPr>
        <w:spacing w:after="120" w:before="0" w:line="276"/>
      </w:pPr>
      <w:r>
        <w:rPr>
          <w:b w:val="false"/>
          <w:bCs w:val="false"/>
          <w:i w:val="false"/>
          <w:iCs w:val="false"/>
          <w:color w:val="1B1A18"/>
          <w:sz w:val="20"/>
          <w:szCs w:val="20"/>
        </w:rPr>
        <w:t xml:space="preserve">This material addresses what structures carry across boundaries. It says nothing about model accuracy, fair lending outcomes, bias, capital adequacy, or conduct risk in substance, all of which require different methods. Custody of the six properties is necessary and not sufficient. Regulatory references are for orientation and must be verified: several instruments named in this folder are subject to amendment during 2026, and the standardisation and legislative status recorded elsewhere in this bundle is dated deliberately for that reason.</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MZ-FIN-001 v1.0  •  sector guidance — not legal or regulatory advice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MZ-FIN-001 · financial services · sector guidance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2026-08-18T06:24:43.762Z</dcterms:created>
  <dcterms:modified xsi:type="dcterms:W3CDTF">2026-08-18T06:24:43.796Z</dcterms:modified>
</cp:coreProperties>
</file>

<file path=docProps/custom.xml><?xml version="1.0" encoding="utf-8"?>
<Properties xmlns="http://schemas.openxmlformats.org/officeDocument/2006/custom-properties" xmlns:vt="http://schemas.openxmlformats.org/officeDocument/2006/docPropsVTypes"/>
</file>