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Sector guidance · model risk and second line</w:t>
      </w:r>
    </w:p>
    <w:p>
      <w:pPr>
        <w:spacing w:after="60"/>
        <w:jc w:val="center"/>
      </w:pPr>
      <w:r>
        <w:rPr>
          <w:b/>
          <w:bCs/>
          <w:color w:val="1B1A18"/>
          <w:sz w:val="38"/>
          <w:szCs w:val="38"/>
        </w:rPr>
        <w:t xml:space="preserve">When the Risk Is Not in the Model</w:t>
      </w:r>
    </w:p>
    <w:p>
      <w:pPr>
        <w:spacing w:after="150"/>
        <w:jc w:val="center"/>
      </w:pPr>
      <w:r>
        <w:rPr>
          <w:i/>
          <w:iCs/>
          <w:color w:val="6E6A62"/>
          <w:sz w:val="23"/>
          <w:szCs w:val="23"/>
        </w:rPr>
        <w:t xml:space="preserve">Extending model risk management to deployments where no model failed</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MZ-FIN-002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regulatory, or investment advice. </w:t>
            </w:r>
            <w:r>
              <w:rPr>
                <w:color w:val="1B1A18"/>
                <w:sz w:val="20"/>
                <w:szCs w:val="20"/>
              </w:rPr>
              <w:t xml:space="preserve">This is practice-support material written by an engineer, not a lawyer, compliance officer, or supervisor. It does not state the law or supervisory expectation of any jurisdiction. Every instrument, principle, and date named here must be checked against the text in force where the institution operates — several are moving in 2026. Its purpose is to supply mechanism: how systems fail at boundaries, and what evidence exists when they do.</w:t>
            </w:r>
          </w:p>
          <w:p>
            <w:pPr>
              <w:spacing w:after="0" w:line="264"/>
            </w:pPr>
            <w:r>
              <w:rPr>
                <w:b/>
                <w:bCs/>
                <w:color w:val="1B1A18"/>
                <w:sz w:val="20"/>
                <w:szCs w:val="20"/>
              </w:rPr>
              <w:t xml:space="preserve">Declaration of interest. </w:t>
            </w:r>
            <w:r>
              <w:rPr>
                <w:color w:val="1B1A18"/>
                <w:sz w:val="20"/>
                <w:szCs w:val="20"/>
              </w:rPr>
              <w:t xml:space="preserve">The author builds infrastructure of the kind this material argues for. The tests are derived from stated requirements rather than calibrated to any product, and are meant to be run against the author’s own systems first. Coined terms are unencumbered — not trademarked, not licensed, free to adopt or discard.</w:t>
            </w:r>
          </w:p>
        </w:tc>
      </w:tr>
    </w:tbl>
    <w:p>
      <w:pPr>
        <w:pStyle w:val="Heading1"/>
        <w:spacing w:after="130" w:before="300"/>
      </w:pPr>
      <w:r>
        <w:rPr>
          <w:b/>
          <w:bCs/>
          <w:color w:val="33302B"/>
          <w:sz w:val="29"/>
          <w:szCs w:val="29"/>
        </w:rPr>
        <w:t xml:space="preserve">1 · The structural mismatch</w:t>
      </w:r>
    </w:p>
    <w:p>
      <w:pPr>
        <w:spacing w:after="120" w:before="0" w:line="276"/>
      </w:pPr>
      <w:r>
        <w:rPr>
          <w:b w:val="false"/>
          <w:bCs w:val="false"/>
          <w:i w:val="false"/>
          <w:iCs w:val="false"/>
          <w:color w:val="1B1A18"/>
          <w:sz w:val="20"/>
          <w:szCs w:val="20"/>
        </w:rPr>
        <w:t xml:space="preserve">Model risk management is the most developed AI governance discipline in existence. It predates the current wave by fifteen years, it has supervisory guidance behind it, and it works: inventory, tiering, independent validation, effective challenge, conceptual soundness, ongoing monitoring, outcomes analysis.</w:t>
      </w:r>
    </w:p>
    <w:p>
      <w:pPr>
        <w:spacing w:after="120" w:before="0" w:line="276"/>
      </w:pPr>
      <w:r>
        <w:rPr>
          <w:b w:val="false"/>
          <w:bCs w:val="false"/>
          <w:i w:val="false"/>
          <w:iCs w:val="false"/>
          <w:color w:val="1B1A18"/>
          <w:sz w:val="20"/>
          <w:szCs w:val="20"/>
        </w:rPr>
        <w:t xml:space="preserve">It is also built on an assumption that agentic deployment removes. Model risk management governs a model — an identifiable component that takes inputs, applies a method, and produces an output which can be validated against a benchmark. The unit of governance is the component.</w:t>
      </w:r>
    </w:p>
    <w:p>
      <w:pPr>
        <w:spacing w:after="120" w:before="0" w:line="276"/>
      </w:pPr>
      <w:r>
        <w:rPr>
          <w:b w:val="false"/>
          <w:bCs w:val="false"/>
          <w:i w:val="false"/>
          <w:iCs w:val="false"/>
          <w:color w:val="1B1A18"/>
          <w:sz w:val="20"/>
          <w:szCs w:val="20"/>
        </w:rPr>
        <w:t xml:space="preserve">In an agentic deployment the model is frequently the least risky part. Work is originated in one system, evaluated in a second, executed against a third. Each model performs to specification. The loss occurs because a condition, an authority, or a record did not survive a boundary. Validate every model to the highest standard and that failure is untouched, because it is not in any model’s scope.</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sentence for the model risk committee. </w:t>
            </w:r>
            <w:r>
              <w:rPr>
                <w:color w:val="1B1A18"/>
                <w:sz w:val="20"/>
                <w:szCs w:val="20"/>
              </w:rPr>
              <w:t xml:space="preserve">A validated model inside an unvalidated crossing is a component certificate for a system nobody has assessed. The inventory records the models. The exposure sits between them.</w:t>
            </w:r>
          </w:p>
        </w:tc>
      </w:tr>
    </w:tbl>
    <w:p>
      <w:pPr>
        <w:pStyle w:val="Heading1"/>
        <w:spacing w:after="130" w:before="300"/>
      </w:pPr>
      <w:r>
        <w:rPr>
          <w:b/>
          <w:bCs/>
          <w:color w:val="33302B"/>
          <w:sz w:val="29"/>
          <w:szCs w:val="29"/>
        </w:rPr>
        <w:t xml:space="preserve">2 · What to add, expressed in the discipline’s own terms</w:t>
      </w:r>
    </w:p>
    <w:p>
      <w:pPr>
        <w:spacing w:after="140" w:line="276"/>
      </w:pPr>
      <w:r>
        <w:rPr>
          <w:i/>
          <w:iCs/>
          <w:color w:val="6E6A62"/>
          <w:sz w:val="20"/>
          <w:szCs w:val="20"/>
        </w:rPr>
        <w:t xml:space="preserve">None of this replaces model validation. It extends the unit of governance from the component to the crossing, using vocabulary the function already owns.</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400"/>
        <w:gridCol w:w="3600"/>
        <w:gridCol w:w="4080"/>
      </w:tblGrid>
      <w:tr>
        <w:trPr>
          <w:tblHeader/>
        </w:trPr>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MRM concept</w:t>
            </w:r>
          </w:p>
        </w:tc>
        <w:tc>
          <w:tcPr>
            <w:tcW w:type="dxa" w:w="3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Current form</w:t>
            </w:r>
          </w:p>
        </w:tc>
        <w:tc>
          <w:tcPr>
            <w:tcW w:type="dxa" w:w="40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Extension for agentic deployment</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Inventory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register of models, with owners, tiers, and validation status.</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Register the crossings as well. A deployment of five systems has more crossings than models, and each is a place where an obligation can go unowned. Six property columns per crossing.</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Tiering</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Materiality by exposure, use, and reliance.</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Tier by what the crossing carries. A crossing that transports an approval limit or a jurisdictional constraint outranks a model that ranks documents.</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Conceptual soundness</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Is the method appropriate to the purpose?</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Is the boundary specified to carry what the purpose requires? A crossing that cannot convey a condition is conceptually unsound regardless of the models either side.</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Independent validation</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Replication, benchmarking, sensitivity analysis.</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Demonstration. Pass a real item of work across the boundary and inspect what arrives. Validation of a crossing is observational, not statistical — which makes it cheaper, not weaker.</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Effective challenge</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qualified challenger with standing and incentive.</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where the rule is enforced, and refuse an answer that resolves to instructing a model. This is effective challenge applied to architecture, and it needs no quantitative expertise.</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Ongoing monitoring</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Performance drift, population stability, override rates.</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Enforcement drift. Enforcement points move when platforms change, and nobody informs the second line. Re-run the address test on a schedule.</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Outcomes analysis</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Did the model perform as expected?</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Reconstructability. Can a transaction from a month ago be fully attributed by query, including the rule version then in force? If not, outcomes analysis rests on reconstruction.</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Model change control</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Revalidation on material change.</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Suppliers change models silently and continuously. The trigger cannot be a release note. The control is that the properties hold across any change, demonstrated on notice.</w:t>
            </w:r>
          </w:p>
        </w:tc>
      </w:tr>
    </w:tbl>
    <w:p>
      <w:pPr>
        <w:pStyle w:val="Heading1"/>
        <w:spacing w:after="130" w:before="300"/>
      </w:pPr>
      <w:r>
        <w:rPr>
          <w:b/>
          <w:bCs/>
          <w:color w:val="33302B"/>
          <w:sz w:val="29"/>
          <w:szCs w:val="29"/>
        </w:rPr>
        <w:t xml:space="preserve">3 · The two cases that make the argument to a sceptical committee</w:t>
      </w:r>
    </w:p>
    <w:p>
      <w:pPr>
        <w:spacing w:after="70" w:before="160"/>
      </w:pPr>
      <w:r>
        <w:rPr>
          <w:b/>
          <w:bCs/>
          <w:color w:val="57534A"/>
          <w:sz w:val="20"/>
          <w:szCs w:val="20"/>
        </w:rPr>
        <w:t xml:space="preserve">Knight Capital — management of change, not model risk</w:t>
      </w:r>
    </w:p>
    <w:p>
      <w:pPr>
        <w:spacing w:after="120" w:before="0" w:line="276"/>
      </w:pPr>
      <w:r>
        <w:rPr>
          <w:b w:val="false"/>
          <w:bCs w:val="false"/>
          <w:i w:val="false"/>
          <w:iCs w:val="false"/>
          <w:color w:val="1B1A18"/>
          <w:sz w:val="20"/>
          <w:szCs w:val="20"/>
        </w:rPr>
        <w:t xml:space="preserve">In August 2012 a deployment left obsolete code active on one of eight servers. Order routing behaved as written and the firm lost roughly 460 million dollars in about forty-five minutes. The SEC administrative proceeding that followed addressed the absence of adequate controls and supervisory procedures around the market access rule rather than any analytical defect.</w:t>
      </w:r>
    </w:p>
    <w:p>
      <w:pPr>
        <w:spacing w:after="120" w:before="0" w:line="276"/>
      </w:pPr>
      <w:r>
        <w:rPr>
          <w:b w:val="false"/>
          <w:bCs w:val="false"/>
          <w:i w:val="false"/>
          <w:iCs w:val="false"/>
          <w:color w:val="1B1A18"/>
          <w:sz w:val="20"/>
          <w:szCs w:val="20"/>
        </w:rPr>
        <w:t xml:space="preserve">No model was wrong. A change crossed into production without the properties that would have caught it. Every element of the failure is recognisable to anyone who has run a management-of-change procedure in a process plant, and none of it is in the scope of model validation.</w:t>
      </w:r>
    </w:p>
    <w:p>
      <w:pPr>
        <w:spacing w:after="70" w:before="160"/>
      </w:pPr>
      <w:r>
        <w:rPr>
          <w:b/>
          <w:bCs/>
          <w:color w:val="57534A"/>
          <w:sz w:val="20"/>
          <w:szCs w:val="20"/>
        </w:rPr>
        <w:t xml:space="preserve">Commonwealth Bank — a coding error as a supervisory event</w:t>
      </w:r>
    </w:p>
    <w:p>
      <w:pPr>
        <w:spacing w:after="120" w:before="0" w:line="276"/>
      </w:pPr>
      <w:r>
        <w:rPr>
          <w:b w:val="false"/>
          <w:bCs w:val="false"/>
          <w:i w:val="false"/>
          <w:iCs w:val="false"/>
          <w:color w:val="1B1A18"/>
          <w:sz w:val="20"/>
          <w:szCs w:val="20"/>
        </w:rPr>
        <w:t xml:space="preserve">A software change in an automated deposit machine channel meant threshold transaction reports were not generated for a large volume of transactions over several years, leading to Federal Court proceedings and a substantial civil penalty in Australia in 2018. The reporting obligation existed. The system’s behaviour after a change did not satisfy it, and nothing at the boundary noticed.</w:t>
      </w:r>
    </w:p>
    <w:p>
      <w:pPr>
        <w:spacing w:after="120" w:before="60" w:line="276"/>
      </w:pPr>
      <w:r>
        <w:rPr>
          <w:b w:val="false"/>
          <w:bCs w:val="false"/>
          <w:i w:val="false"/>
          <w:iCs w:val="false"/>
          <w:color w:val="1B1A18"/>
          <w:sz w:val="20"/>
          <w:szCs w:val="20"/>
        </w:rPr>
        <w:t xml:space="preserve">Cite these two rather than any AI incident. They are documented in courts and regulatory proceedings, they predate agentic systems, and they show the failure mode is structural rather than novel — which is precisely why validating harder will not reach it.</w:t>
      </w:r>
    </w:p>
    <w:p>
      <w:pPr>
        <w:pStyle w:val="Heading1"/>
        <w:spacing w:after="130" w:before="300"/>
      </w:pPr>
      <w:r>
        <w:rPr>
          <w:b/>
          <w:bCs/>
          <w:color w:val="33302B"/>
          <w:sz w:val="29"/>
          <w:szCs w:val="29"/>
        </w:rPr>
        <w:t xml:space="preserve">4 · What the second line should demand at approval</w:t>
      </w:r>
    </w:p>
    <w:p>
      <w:pPr>
        <w:pStyle w:val="ListParagraph"/>
        <w:numPr>
          <w:ilvl w:val="0"/>
          <w:numId w:val="2"/>
        </w:numPr>
        <w:spacing w:after="70" w:line="276"/>
      </w:pPr>
      <w:r>
        <w:rPr>
          <w:b/>
          <w:bCs/>
          <w:color w:val="1B1A18"/>
          <w:sz w:val="20"/>
          <w:szCs w:val="20"/>
        </w:rPr>
        <w:t xml:space="preserve">Name every crossing. </w:t>
      </w:r>
      <w:r>
        <w:rPr>
          <w:color w:val="1B1A18"/>
          <w:sz w:val="20"/>
          <w:szCs w:val="20"/>
        </w:rPr>
        <w:t xml:space="preserve">Which systems does work pass between, and what is each boundary specified to carry? An answer that cannot be produced is the finding.</w:t>
      </w:r>
    </w:p>
    <w:p>
      <w:pPr>
        <w:pStyle w:val="ListParagraph"/>
        <w:numPr>
          <w:ilvl w:val="0"/>
          <w:numId w:val="2"/>
        </w:numPr>
        <w:spacing w:after="70" w:line="276"/>
      </w:pPr>
      <w:r>
        <w:rPr>
          <w:b/>
          <w:bCs/>
          <w:color w:val="1B1A18"/>
          <w:sz w:val="20"/>
          <w:szCs w:val="20"/>
        </w:rPr>
        <w:t xml:space="preserve">For each hard limit, the enforcement point. </w:t>
      </w:r>
      <w:r>
        <w:rPr>
          <w:color w:val="1B1A18"/>
          <w:sz w:val="20"/>
          <w:szCs w:val="20"/>
        </w:rPr>
        <w:t xml:space="preserve">One place, all subject work passing through it, no component able to bypass. Disqualify prompt-based answers.</w:t>
      </w:r>
    </w:p>
    <w:p>
      <w:pPr>
        <w:pStyle w:val="ListParagraph"/>
        <w:numPr>
          <w:ilvl w:val="0"/>
          <w:numId w:val="2"/>
        </w:numPr>
        <w:spacing w:after="70" w:line="276"/>
      </w:pPr>
      <w:r>
        <w:rPr>
          <w:b/>
          <w:bCs/>
          <w:color w:val="1B1A18"/>
          <w:sz w:val="20"/>
          <w:szCs w:val="20"/>
        </w:rPr>
        <w:t xml:space="preserve">A live attribution demonstration. </w:t>
      </w:r>
      <w:r>
        <w:rPr>
          <w:color w:val="1B1A18"/>
          <w:sz w:val="20"/>
          <w:szCs w:val="20"/>
        </w:rPr>
        <w:t xml:space="preserve">Not a sample log. One transaction, chosen by the second line, attributed by query in the room.</w:t>
      </w:r>
    </w:p>
    <w:p>
      <w:pPr>
        <w:pStyle w:val="ListParagraph"/>
        <w:numPr>
          <w:ilvl w:val="0"/>
          <w:numId w:val="2"/>
        </w:numPr>
        <w:spacing w:after="70" w:line="276"/>
      </w:pPr>
      <w:r>
        <w:rPr>
          <w:b/>
          <w:bCs/>
          <w:color w:val="1B1A18"/>
          <w:sz w:val="20"/>
          <w:szCs w:val="20"/>
        </w:rPr>
        <w:t xml:space="preserve">The provenance scheme for retrieved content. </w:t>
      </w:r>
      <w:r>
        <w:rPr>
          <w:color w:val="1B1A18"/>
          <w:sz w:val="20"/>
          <w:szCs w:val="20"/>
        </w:rPr>
        <w:t xml:space="preserve">Where a decision consults a store, can the reader distinguish an approved policy from an uploaded document? Absence here is an injection surface, and in this sector it is also a market-abuse and fraud surface.</w:t>
      </w:r>
    </w:p>
    <w:p>
      <w:pPr>
        <w:pStyle w:val="ListParagraph"/>
        <w:numPr>
          <w:ilvl w:val="0"/>
          <w:numId w:val="2"/>
        </w:numPr>
        <w:spacing w:after="70" w:line="276"/>
      </w:pPr>
      <w:r>
        <w:rPr>
          <w:b/>
          <w:bCs/>
          <w:color w:val="1B1A18"/>
          <w:sz w:val="20"/>
          <w:szCs w:val="20"/>
        </w:rPr>
        <w:t xml:space="preserve">The dependency list and one substitution path. </w:t>
      </w:r>
      <w:r>
        <w:rPr>
          <w:color w:val="1B1A18"/>
          <w:sz w:val="20"/>
          <w:szCs w:val="20"/>
        </w:rPr>
        <w:t xml:space="preserve">Not for procurement’s benefit. Concentration is a prudential matter, and regulators in the CCAF survey were far more concerned about critical third-party risk than vendors were — 43% against 23%.</w:t>
      </w:r>
    </w:p>
    <w:p>
      <w:pPr>
        <w:pStyle w:val="Heading1"/>
        <w:spacing w:after="130" w:before="300"/>
      </w:pPr>
      <w:r>
        <w:rPr>
          <w:b/>
          <w:bCs/>
          <w:color w:val="33302B"/>
          <w:sz w:val="29"/>
          <w:szCs w:val="29"/>
        </w:rPr>
        <w:t xml:space="preserve">5 · How to get this wrong</w:t>
      </w:r>
    </w:p>
    <w:p>
      <w:pPr>
        <w:pStyle w:val="ListParagraph"/>
        <w:numPr>
          <w:ilvl w:val="0"/>
          <w:numId w:val="2"/>
        </w:numPr>
        <w:spacing w:after="70" w:line="276"/>
      </w:pPr>
      <w:r>
        <w:rPr>
          <w:b/>
          <w:bCs/>
          <w:color w:val="1B1A18"/>
          <w:sz w:val="20"/>
          <w:szCs w:val="20"/>
        </w:rPr>
        <w:t xml:space="preserve">Presenting it as a replacement for model validation. </w:t>
      </w:r>
      <w:r>
        <w:rPr>
          <w:color w:val="1B1A18"/>
          <w:sz w:val="20"/>
          <w:szCs w:val="20"/>
        </w:rPr>
        <w:t xml:space="preserve">It is an extension of the unit of governance. Framed as a replacement it will be rejected, correctly.</w:t>
      </w:r>
    </w:p>
    <w:p>
      <w:pPr>
        <w:pStyle w:val="ListParagraph"/>
        <w:numPr>
          <w:ilvl w:val="0"/>
          <w:numId w:val="2"/>
        </w:numPr>
        <w:spacing w:after="70" w:line="276"/>
      </w:pPr>
      <w:r>
        <w:rPr>
          <w:b/>
          <w:bCs/>
          <w:color w:val="1B1A18"/>
          <w:sz w:val="20"/>
          <w:szCs w:val="20"/>
        </w:rPr>
        <w:t xml:space="preserve">Letting it become a documentation exercise. </w:t>
      </w:r>
      <w:r>
        <w:rPr>
          <w:color w:val="1B1A18"/>
          <w:sz w:val="20"/>
          <w:szCs w:val="20"/>
        </w:rPr>
        <w:t xml:space="preserve">Crossing registers filled from architecture diagrams rather than from demonstrations record what was intended, which is the thing that was already known.</w:t>
      </w:r>
    </w:p>
    <w:p>
      <w:pPr>
        <w:pStyle w:val="ListParagraph"/>
        <w:numPr>
          <w:ilvl w:val="0"/>
          <w:numId w:val="2"/>
        </w:numPr>
        <w:spacing w:after="70" w:line="276"/>
      </w:pPr>
      <w:r>
        <w:rPr>
          <w:b/>
          <w:bCs/>
          <w:color w:val="1B1A18"/>
          <w:sz w:val="20"/>
          <w:szCs w:val="20"/>
        </w:rPr>
        <w:t xml:space="preserve">Validating the crossing once. </w:t>
      </w:r>
      <w:r>
        <w:rPr>
          <w:color w:val="1B1A18"/>
          <w:sz w:val="20"/>
          <w:szCs w:val="20"/>
        </w:rPr>
        <w:t xml:space="preserve">Enforcement points move. This is monitoring, not onboarding.</w:t>
      </w:r>
    </w:p>
    <w:p>
      <w:pPr>
        <w:pStyle w:val="ListParagraph"/>
        <w:numPr>
          <w:ilvl w:val="0"/>
          <w:numId w:val="2"/>
        </w:numPr>
        <w:spacing w:after="70" w:line="276"/>
      </w:pPr>
      <w:r>
        <w:rPr>
          <w:b/>
          <w:bCs/>
          <w:color w:val="1B1A18"/>
          <w:sz w:val="20"/>
          <w:szCs w:val="20"/>
        </w:rPr>
        <w:t xml:space="preserve">Accepting supplier attestation in place of demonstration. </w:t>
      </w:r>
      <w:r>
        <w:rPr>
          <w:color w:val="1B1A18"/>
          <w:sz w:val="20"/>
          <w:szCs w:val="20"/>
        </w:rPr>
        <w:t xml:space="preserve">The vocabulary of custody is now used by systems that do not implement it, and words cannot tell the two apart. Demonstrations can.</w:t>
      </w:r>
    </w:p>
    <w:p>
      <w:pPr>
        <w:pStyle w:val="Heading1"/>
        <w:spacing w:after="130" w:before="300"/>
      </w:pPr>
      <w:r>
        <w:rPr>
          <w:b/>
          <w:bCs/>
          <w:color w:val="33302B"/>
          <w:sz w:val="29"/>
          <w:szCs w:val="29"/>
        </w:rPr>
        <w:t xml:space="preserve">6 · Limits</w:t>
      </w:r>
    </w:p>
    <w:p>
      <w:pPr>
        <w:spacing w:after="120" w:before="0" w:line="276"/>
      </w:pPr>
      <w:r>
        <w:rPr>
          <w:b w:val="false"/>
          <w:bCs w:val="false"/>
          <w:i w:val="false"/>
          <w:iCs w:val="false"/>
          <w:color w:val="1B1A18"/>
          <w:sz w:val="20"/>
          <w:szCs w:val="20"/>
        </w:rPr>
        <w:t xml:space="preserve">This addresses what a structure carries across its boundaries. It does not address model accuracy, discriminatory outcomes, capital treatment, or conduct risk in substance. Supervisory guidance on model risk management differs materially by jurisdiction and is summarised here only in general terms — apply the guidance in force for the institution. Case descriptions are drawn from court and regulatory records and are given as records rather than as authority for any proposition. Not legal or regulatory advice.</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MZ-FIN-002 v1.0  •  sector guidance — not legal or regulatory advice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MZ-FIN-002 · model risk and second 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2026-08-18T06:24:43.869Z</dcterms:created>
  <dcterms:modified xsi:type="dcterms:W3CDTF">2026-08-18T06:24:43.869Z</dcterms:modified>
</cp:coreProperties>
</file>

<file path=docProps/custom.xml><?xml version="1.0" encoding="utf-8"?>
<Properties xmlns="http://schemas.openxmlformats.org/officeDocument/2006/custom-properties" xmlns:vt="http://schemas.openxmlformats.org/officeDocument/2006/docPropsVTypes"/>
</file>