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Sector guidance · operational resilience and third-party risk</w:t>
      </w:r>
    </w:p>
    <w:p>
      <w:pPr>
        <w:spacing w:after="60"/>
        <w:jc w:val="center"/>
      </w:pPr>
      <w:r>
        <w:rPr>
          <w:b/>
          <w:bCs/>
          <w:color w:val="1B1A18"/>
          <w:sz w:val="38"/>
          <w:szCs w:val="38"/>
        </w:rPr>
        <w:t xml:space="preserve">Dependency, Concentration, and the Cost of Saying No</w:t>
      </w:r>
    </w:p>
    <w:p>
      <w:pPr>
        <w:spacing w:after="150"/>
        <w:jc w:val="center"/>
      </w:pPr>
      <w:r>
        <w:rPr>
          <w:i/>
          <w:iCs/>
          <w:color w:val="6E6A62"/>
          <w:sz w:val="23"/>
          <w:szCs w:val="23"/>
        </w:rPr>
        <w:t xml:space="preserve">The census and the substitution test against operational resilience obligations</w:t>
      </w:r>
    </w:p>
    <w:p>
      <w:pPr>
        <w:spacing w:after="40"/>
        <w:jc w:val="center"/>
      </w:pPr>
      <w:r>
        <w:rPr>
          <w:color w:val="1B1A18"/>
          <w:sz w:val="20"/>
          <w:szCs w:val="20"/>
        </w:rPr>
        <w:t xml:space="preserve">Derived from What the Structure Does Not Carry · Georg Zangl</w:t>
      </w:r>
    </w:p>
    <w:p>
      <w:pPr>
        <w:spacing w:after="220"/>
        <w:jc w:val="center"/>
      </w:pPr>
      <w:r>
        <w:rPr>
          <w:b/>
          <w:bCs/>
          <w:color w:val="33302B"/>
          <w:sz w:val="18"/>
          <w:szCs w:val="18"/>
        </w:rPr>
        <w:t>MZ-FIN-003 v1.0 · 28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Not legal, regulatory, or investment advice. </w:t>
            </w:r>
            <w:r>
              <w:rPr>
                <w:color w:val="1B1A18"/>
                <w:sz w:val="20"/>
                <w:szCs w:val="20"/>
              </w:rPr>
              <w:t xml:space="preserve">This is practice-support material written by an engineer, not a lawyer, compliance officer, or supervisor. It does not state the law or supervisory expectation of any jurisdiction. Every instrument, principle, and date named here must be checked against the text in force where the institution operates — several are moving in 2026. Its purpose is to supply mechanism: how systems fail at boundaries, and what evidence exists when they do.</w:t>
            </w:r>
          </w:p>
          <w:p>
            <w:pPr>
              <w:spacing w:after="0" w:line="264"/>
            </w:pPr>
            <w:r>
              <w:rPr>
                <w:b/>
                <w:bCs/>
                <w:color w:val="1B1A18"/>
                <w:sz w:val="20"/>
                <w:szCs w:val="20"/>
              </w:rPr>
              <w:t xml:space="preserve">Declaration of interest. </w:t>
            </w:r>
            <w:r>
              <w:rPr>
                <w:color w:val="1B1A18"/>
                <w:sz w:val="20"/>
                <w:szCs w:val="20"/>
              </w:rPr>
              <w:t xml:space="preserve">The author builds infrastructure of the kind this material argues for. The tests are derived from stated requirements rather than calibrated to any product, and are meant to be run against the author’s own systems first. Coined terms are unencumbered — not trademarked, not licensed, free to adopt or discard.</w:t>
            </w:r>
          </w:p>
        </w:tc>
      </w:tr>
    </w:tbl>
    <w:p>
      <w:pPr>
        <w:pStyle w:val="Heading1"/>
        <w:spacing w:after="130" w:before="300"/>
      </w:pPr>
      <w:r>
        <w:rPr>
          <w:b/>
          <w:bCs/>
          <w:color w:val="33302B"/>
          <w:sz w:val="29"/>
          <w:szCs w:val="29"/>
        </w:rPr>
        <w:t xml:space="preserve">1 · The one area where the sector is ahead of the framework</w:t>
      </w:r>
    </w:p>
    <w:p>
      <w:pPr>
        <w:spacing w:after="120" w:before="0" w:line="276"/>
      </w:pPr>
      <w:r>
        <w:rPr>
          <w:b w:val="false"/>
          <w:bCs w:val="false"/>
          <w:i w:val="false"/>
          <w:iCs w:val="false"/>
          <w:color w:val="1B1A18"/>
          <w:sz w:val="20"/>
          <w:szCs w:val="20"/>
        </w:rPr>
        <w:t xml:space="preserve">Operational resilience regulation already requires most of what the sovereignty chapters argue for. European institutions maintain a register of information on ICT third-party arrangements, must identify arrangements supporting critical or important functions, must document exit strategies, and are subject to an oversight framework for providers designated as critical. Comparable expectations exist in other jurisdictions.</w:t>
      </w:r>
    </w:p>
    <w:p>
      <w:pPr>
        <w:spacing w:after="120" w:before="0" w:line="276"/>
      </w:pPr>
      <w:r>
        <w:rPr>
          <w:b w:val="false"/>
          <w:bCs w:val="false"/>
          <w:i w:val="false"/>
          <w:iCs w:val="false"/>
          <w:color w:val="1B1A18"/>
          <w:sz w:val="20"/>
          <w:szCs w:val="20"/>
        </w:rPr>
        <w:t xml:space="preserve">So this document is not a proposal. It is a set of three questions to ask about compliance that already exists, because the register can be complete and the exposure can still be unmanaged.</w:t>
      </w:r>
    </w:p>
    <w:p>
      <w:pPr>
        <w:spacing w:after="12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three questions. </w:t>
            </w:r>
            <w:r>
              <w:rPr>
                <w:color w:val="1B1A18"/>
                <w:sz w:val="20"/>
                <w:szCs w:val="20"/>
              </w:rPr>
              <w:t xml:space="preserve">Does the register reach the model and inference layer, or stop at the hosting contract? Was the exit strategy tested, or only written? And does anyone hold the transitive list — the parties your provider depends on — given that an outage propagates through dependencies the register does not name?</w:t>
            </w:r>
          </w:p>
        </w:tc>
      </w:tr>
    </w:tbl>
    <w:p>
      <w:pPr>
        <w:pStyle w:val="Heading1"/>
        <w:spacing w:after="130" w:before="300"/>
      </w:pPr>
      <w:r>
        <w:rPr>
          <w:b/>
          <w:bCs/>
          <w:color w:val="33302B"/>
          <w:sz w:val="29"/>
          <w:szCs w:val="29"/>
        </w:rPr>
        <w:t xml:space="preserve">2 · What the survey data says about concentration</w:t>
      </w:r>
    </w:p>
    <w:p>
      <w:pPr>
        <w:spacing w:after="120" w:before="0" w:line="276"/>
      </w:pPr>
      <w:r>
        <w:rPr>
          <w:b w:val="false"/>
          <w:bCs w:val="false"/>
          <w:i w:val="false"/>
          <w:iCs w:val="false"/>
          <w:color w:val="1B1A18"/>
          <w:sz w:val="20"/>
          <w:szCs w:val="20"/>
        </w:rPr>
        <w:t xml:space="preserve">Concentration is easy to assert and hard to argue without figures. The 2026 CCAF survey supplies them.</w:t>
      </w:r>
    </w:p>
    <w:p>
      <w:pPr>
        <w:pStyle w:val="ListParagraph"/>
        <w:numPr>
          <w:ilvl w:val="0"/>
          <w:numId w:val="2"/>
        </w:numPr>
        <w:spacing w:after="70" w:line="276"/>
      </w:pPr>
      <w:r>
        <w:rPr>
          <w:color w:val="1B1A18"/>
          <w:sz w:val="20"/>
          <w:szCs w:val="20"/>
        </w:rPr>
        <w:t xml:space="preserve">One foundation model provider was used by 76% of industry respondents, and by 69% of all institutions answering that question.</w:t>
      </w:r>
    </w:p>
    <w:p>
      <w:pPr>
        <w:pStyle w:val="ListParagraph"/>
        <w:numPr>
          <w:ilvl w:val="0"/>
          <w:numId w:val="2"/>
        </w:numPr>
        <w:spacing w:after="70" w:line="276"/>
      </w:pPr>
      <w:r>
        <w:rPr>
          <w:color w:val="1B1A18"/>
          <w:sz w:val="20"/>
          <w:szCs w:val="20"/>
        </w:rPr>
        <w:t xml:space="preserve">The top three cloud providers served more than 80% of industry respondents.</w:t>
      </w:r>
    </w:p>
    <w:p>
      <w:pPr>
        <w:pStyle w:val="ListParagraph"/>
        <w:numPr>
          <w:ilvl w:val="0"/>
          <w:numId w:val="2"/>
        </w:numPr>
        <w:spacing w:after="70" w:line="276"/>
      </w:pPr>
      <w:r>
        <w:rPr>
          <w:color w:val="1B1A18"/>
          <w:sz w:val="20"/>
          <w:szCs w:val="20"/>
        </w:rPr>
        <w:t xml:space="preserve">Regulators were nearly twice as concerned about critical third-party risk as vendors were — 43% against 23% — and more concerned about concentration than industry itself, 43% against 28%.</w:t>
      </w:r>
    </w:p>
    <w:p>
      <w:pPr>
        <w:pStyle w:val="ListParagraph"/>
        <w:numPr>
          <w:ilvl w:val="0"/>
          <w:numId w:val="2"/>
        </w:numPr>
        <w:spacing w:after="70" w:line="276"/>
      </w:pPr>
      <w:r>
        <w:rPr>
          <w:color w:val="1B1A18"/>
          <w:sz w:val="20"/>
          <w:szCs w:val="20"/>
        </w:rPr>
        <w:t xml:space="preserve">Traditional institutions remained more reliant on on-premises or local cloud than fintechs, 39% against 23%, which is a resilience advantage that is currently being traded away.</w:t>
      </w:r>
    </w:p>
    <w:p>
      <w:pPr>
        <w:spacing w:after="120" w:before="60" w:line="276"/>
      </w:pPr>
      <w:r>
        <w:rPr>
          <w:b w:val="false"/>
          <w:bCs w:val="false"/>
          <w:i w:val="false"/>
          <w:iCs w:val="false"/>
          <w:color w:val="1B1A18"/>
          <w:sz w:val="20"/>
          <w:szCs w:val="20"/>
        </w:rPr>
        <w:t xml:space="preserve">The supervisory asymmetry in the second bullet is the one to bring to a board. The people who will examine the institution are more worried about this than the people selling to it, and by a wide margin.</w:t>
      </w:r>
    </w:p>
    <w:p>
      <w:pPr>
        <w:pStyle w:val="Heading1"/>
        <w:spacing w:after="130" w:before="300"/>
      </w:pPr>
      <w:r>
        <w:rPr>
          <w:b/>
          <w:bCs/>
          <w:color w:val="33302B"/>
          <w:sz w:val="29"/>
          <w:szCs w:val="29"/>
        </w:rPr>
        <w:t xml:space="preserve">3 · The dependency census, done properly</w:t>
      </w:r>
    </w:p>
    <w:p>
      <w:pPr>
        <w:spacing w:after="120" w:before="0" w:line="276"/>
      </w:pPr>
      <w:r>
        <w:rPr>
          <w:b w:val="false"/>
          <w:bCs w:val="false"/>
          <w:i w:val="false"/>
          <w:iCs w:val="false"/>
          <w:color w:val="1B1A18"/>
          <w:sz w:val="20"/>
          <w:szCs w:val="20"/>
        </w:rPr>
        <w:t xml:space="preserve">The register asks for arrangements. The census asks a different question: every party whose availability, pricing, or policy the deployment relies on to function. The difference matters, because several of the most consequential dependencies in an agentic stack are not contracts with the institution at all.</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600"/>
        <w:gridCol w:w="3400"/>
        <w:gridCol w:w="4080"/>
      </w:tblGrid>
      <w:tr>
        <w:trPr>
          <w:tblHeader/>
        </w:trPr>
        <w:tc>
          <w:tcPr>
            <w:tcW w:type="dxa" w:w="26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Layer</w:t>
            </w:r>
          </w:p>
        </w:tc>
        <w:tc>
          <w:tcPr>
            <w:tcW w:type="dxa" w:w="3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to record</w:t>
            </w:r>
          </w:p>
        </w:tc>
        <w:tc>
          <w:tcPr>
            <w:tcW w:type="dxa" w:w="40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Why the register often misses it</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Model provider</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Which models, which versions, which routing, and whether the institution or the vendor chooses.</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Frequently subcontracted by an application vendor, so it appears as one line rather than as the dependency it is.</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Inference hosting</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Where inference physically runs, under which entity, in which jurisdiction.</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May differ from where the application runs and from what the contract implies.</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Orchestration and agent framework</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component deciding what runs, in what order, under what authority.</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Often open-source with no contractual counterparty, and therefore invisible to a contract-based register while being the layer where behaviour lives.</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Retrieval and memory</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Where durable records sit, who may write, and whether the institution can export them.</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Treated as storage rather than as the record on which decisions rest.</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Identity and entitlement</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Where decision rights are held, and whose system enforces them.</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Usually already registered — but not connected to the agentic path, so nobody notices the agent inherits a service account.</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Policy dependency</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Any provider whose usage policy or safety configuration can change what the institution is permitted to do.</w:t>
            </w:r>
          </w:p>
        </w:tc>
        <w:tc>
          <w:tcPr>
            <w:tcW w:type="dxa" w:w="40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Not an availability risk and not a price risk, so no existing category captures it. It is nonetheless a dependency: policy change is a form of outage.</w:t>
            </w:r>
          </w:p>
        </w:tc>
      </w:tr>
    </w:tbl>
    <w:p>
      <w:pPr>
        <w:pStyle w:val="Heading1"/>
        <w:spacing w:after="130" w:before="300"/>
      </w:pPr>
      <w:r>
        <w:rPr>
          <w:b/>
          <w:bCs/>
          <w:color w:val="33302B"/>
          <w:sz w:val="29"/>
          <w:szCs w:val="29"/>
        </w:rPr>
        <w:t xml:space="preserve">4 · The substitution test</w:t>
      </w:r>
    </w:p>
    <w:p>
      <w:pPr>
        <w:spacing w:after="120" w:before="0" w:line="276"/>
      </w:pPr>
      <w:r>
        <w:rPr>
          <w:b w:val="false"/>
          <w:bCs w:val="false"/>
          <w:i w:val="false"/>
          <w:iCs w:val="false"/>
          <w:color w:val="1B1A18"/>
          <w:sz w:val="20"/>
          <w:szCs w:val="20"/>
        </w:rPr>
        <w:t xml:space="preserve">For each party on the census, one question: what is the cost of saying no? Not whether an alternative exists in principle, but whether this institution could refuse this provider within a defined period and continue to operate.</w:t>
      </w:r>
    </w:p>
    <w:p>
      <w:pPr>
        <w:spacing w:after="120" w:before="0" w:line="276"/>
      </w:pPr>
      <w:r>
        <w:rPr>
          <w:b w:val="false"/>
          <w:bCs w:val="false"/>
          <w:i w:val="false"/>
          <w:iCs w:val="false"/>
          <w:color w:val="1B1A18"/>
          <w:sz w:val="20"/>
          <w:szCs w:val="20"/>
        </w:rPr>
        <w:t xml:space="preserve">This is the test that separates a written exit strategy from a real one, and it has an uncomfortable property: it is answerable. Either a replacement path has been identified, sized, and preferably rehearsed, or it has not. A documented exit strategy that has never been exercised is a plan, and plans are what institutions discover the limits of during the incident.</w:t>
      </w:r>
    </w:p>
    <w:p>
      <w:pPr>
        <w:spacing w:after="120" w:before="0" w:line="276"/>
      </w:pPr>
      <w:r>
        <w:rPr>
          <w:b w:val="false"/>
          <w:bCs w:val="false"/>
          <w:i w:val="false"/>
          <w:iCs w:val="false"/>
          <w:color w:val="1B1A18"/>
          <w:sz w:val="20"/>
          <w:szCs w:val="20"/>
        </w:rPr>
        <w:t xml:space="preserve">Three refinements specific to agentic stacks. Substitution at the model layer is not a like-for-like swap, because prompts, tool definitions, and behaviour tuning are provider-shaped — so the honest question is what degradation the institution accepts on switching, not whether switching is possible. Records must be exportable in a form usable without the provider, or the institution loses its evidence at the moment it most needs it. And where a provider supplies both the coordination layer and one of the coordinated services, ask the outlive question: does the party holding the invariants have a stake among the parties being coordinated? A referee who is also a player is a governance finding, not a commercial one.</w:t>
      </w:r>
    </w:p>
    <w:p>
      <w:pPr>
        <w:pStyle w:val="Heading1"/>
        <w:spacing w:after="130" w:before="300"/>
      </w:pPr>
      <w:r>
        <w:rPr>
          <w:b/>
          <w:bCs/>
          <w:color w:val="33302B"/>
          <w:sz w:val="29"/>
          <w:szCs w:val="29"/>
        </w:rPr>
        <w:t xml:space="preserve">5 · Where this meets the AI Act</w:t>
      </w:r>
    </w:p>
    <w:p>
      <w:pPr>
        <w:spacing w:after="120" w:before="0" w:line="276"/>
      </w:pPr>
      <w:r>
        <w:rPr>
          <w:b w:val="false"/>
          <w:bCs w:val="false"/>
          <w:i w:val="false"/>
          <w:iCs w:val="false"/>
          <w:color w:val="1B1A18"/>
          <w:sz w:val="20"/>
          <w:szCs w:val="20"/>
        </w:rPr>
        <w:t xml:space="preserve">Credit scoring and certain insurance pricing uses sit in the high-risk category under the AI Act’s Annex III. Following the Digital Omnibus regulation adopted in July 2026, those obligations now apply from 2 December 2027 rather than August 2026, with embedded systems following in 2028. The dated status record in the standards folder of this bundle sets out the position as verified and should be checked before use.</w:t>
      </w:r>
    </w:p>
    <w:p>
      <w:pPr>
        <w:spacing w:after="120" w:before="0" w:line="276"/>
      </w:pPr>
      <w:r>
        <w:rPr>
          <w:b w:val="false"/>
          <w:bCs w:val="false"/>
          <w:i w:val="false"/>
          <w:iCs w:val="false"/>
          <w:color w:val="1B1A18"/>
          <w:sz w:val="20"/>
          <w:szCs w:val="20"/>
        </w:rPr>
        <w:t xml:space="preserve">The practical consequence for this document is a timing one. Deployments being contracted now will be in scope when the obligations bite, and the contractual terms that will make evidence available then are being agreed this quarter. The drafting schedule in the legal practice folder covers those terms.</w:t>
      </w:r>
    </w:p>
    <w:p>
      <w:pPr>
        <w:pStyle w:val="Heading1"/>
        <w:spacing w:after="130" w:before="300"/>
      </w:pPr>
      <w:r>
        <w:rPr>
          <w:b/>
          <w:bCs/>
          <w:color w:val="33302B"/>
          <w:sz w:val="29"/>
          <w:szCs w:val="29"/>
        </w:rPr>
        <w:t xml:space="preserve">6 · How to get this wrong</w:t>
      </w:r>
    </w:p>
    <w:p>
      <w:pPr>
        <w:pStyle w:val="ListParagraph"/>
        <w:numPr>
          <w:ilvl w:val="0"/>
          <w:numId w:val="2"/>
        </w:numPr>
        <w:spacing w:after="70" w:line="276"/>
      </w:pPr>
      <w:r>
        <w:rPr>
          <w:b/>
          <w:bCs/>
          <w:color w:val="1B1A18"/>
          <w:sz w:val="20"/>
          <w:szCs w:val="20"/>
        </w:rPr>
        <w:t xml:space="preserve">Treating the register as the census. </w:t>
      </w:r>
      <w:r>
        <w:rPr>
          <w:color w:val="1B1A18"/>
          <w:sz w:val="20"/>
          <w:szCs w:val="20"/>
        </w:rPr>
        <w:t xml:space="preserve">The register lists arrangements. The census lists reliance. The gap between them is where the orchestration and policy dependencies live.</w:t>
      </w:r>
    </w:p>
    <w:p>
      <w:pPr>
        <w:pStyle w:val="ListParagraph"/>
        <w:numPr>
          <w:ilvl w:val="0"/>
          <w:numId w:val="2"/>
        </w:numPr>
        <w:spacing w:after="70" w:line="276"/>
      </w:pPr>
      <w:r>
        <w:rPr>
          <w:b/>
          <w:bCs/>
          <w:color w:val="1B1A18"/>
          <w:sz w:val="20"/>
          <w:szCs w:val="20"/>
        </w:rPr>
        <w:t xml:space="preserve">Testing exit on paper. </w:t>
      </w:r>
      <w:r>
        <w:rPr>
          <w:color w:val="1B1A18"/>
          <w:sz w:val="20"/>
          <w:szCs w:val="20"/>
        </w:rPr>
        <w:t xml:space="preserve">An untested exit is an assumption with a document attached.</w:t>
      </w:r>
    </w:p>
    <w:p>
      <w:pPr>
        <w:pStyle w:val="ListParagraph"/>
        <w:numPr>
          <w:ilvl w:val="0"/>
          <w:numId w:val="2"/>
        </w:numPr>
        <w:spacing w:after="70" w:line="276"/>
      </w:pPr>
      <w:r>
        <w:rPr>
          <w:b/>
          <w:bCs/>
          <w:color w:val="1B1A18"/>
          <w:sz w:val="20"/>
          <w:szCs w:val="20"/>
        </w:rPr>
        <w:t xml:space="preserve">Assessing concentration only at the cloud layer. </w:t>
      </w:r>
      <w:r>
        <w:rPr>
          <w:color w:val="1B1A18"/>
          <w:sz w:val="20"/>
          <w:szCs w:val="20"/>
        </w:rPr>
        <w:t xml:space="preserve">Model-layer concentration is currently higher than infrastructure concentration and less visible, because it usually arrives through an application vendor.</w:t>
      </w:r>
    </w:p>
    <w:p>
      <w:pPr>
        <w:pStyle w:val="ListParagraph"/>
        <w:numPr>
          <w:ilvl w:val="0"/>
          <w:numId w:val="2"/>
        </w:numPr>
        <w:spacing w:after="70" w:line="276"/>
      </w:pPr>
      <w:r>
        <w:rPr>
          <w:b/>
          <w:bCs/>
          <w:color w:val="1B1A18"/>
          <w:sz w:val="20"/>
          <w:szCs w:val="20"/>
        </w:rPr>
        <w:t xml:space="preserve">Ignoring policy dependency. </w:t>
      </w:r>
      <w:r>
        <w:rPr>
          <w:color w:val="1B1A18"/>
          <w:sz w:val="20"/>
          <w:szCs w:val="20"/>
        </w:rPr>
        <w:t xml:space="preserve">A provider can change what the institution may do without any outage, any price change, and any notice period the institution controls.</w:t>
      </w:r>
    </w:p>
    <w:p>
      <w:pPr>
        <w:pStyle w:val="Heading1"/>
        <w:spacing w:after="130" w:before="300"/>
      </w:pPr>
      <w:r>
        <w:rPr>
          <w:b/>
          <w:bCs/>
          <w:color w:val="33302B"/>
          <w:sz w:val="29"/>
          <w:szCs w:val="29"/>
        </w:rPr>
        <w:t xml:space="preserve">7 · Limits</w:t>
      </w:r>
    </w:p>
    <w:p>
      <w:pPr>
        <w:spacing w:after="120" w:before="0" w:line="276"/>
      </w:pPr>
      <w:r>
        <w:rPr>
          <w:b w:val="false"/>
          <w:bCs w:val="false"/>
          <w:i w:val="false"/>
          <w:iCs w:val="false"/>
          <w:color w:val="1B1A18"/>
          <w:sz w:val="20"/>
          <w:szCs w:val="20"/>
        </w:rPr>
        <w:t xml:space="preserve">Operational resilience obligations differ substantially between jurisdictions and are described here only in general terms; apply the framework in force. Survey figures are self-reported, dated April 2026, and specific to financial services — cite the respondent group. This material addresses dependency and custody, not capital, liquidity, or recovery planning. Not legal or regulatory advice.</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MZ-FIN-003 v1.0  •  sector guidance — not legal or regulatory advice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MZ-FIN-003 · resilience and third-party concentration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2026-08-18T06:26:18.105Z</dcterms:created>
  <dcterms:modified xsi:type="dcterms:W3CDTF">2026-08-18T06:26:18.105Z</dcterms:modified>
</cp:coreProperties>
</file>

<file path=docProps/custom.xml><?xml version="1.0" encoding="utf-8"?>
<Properties xmlns="http://schemas.openxmlformats.org/officeDocument/2006/custom-properties" xmlns:vt="http://schemas.openxmlformats.org/officeDocument/2006/docPropsVTypes"/>
</file>