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jc w:val="center"/>
      </w:pPr>
      <w:r>
        <w:rPr>
          <w:b/>
          <w:bCs/>
          <w:caps/>
          <w:color w:val="33302B"/>
          <w:sz w:val="18"/>
          <w:szCs w:val="18"/>
        </w:rPr>
        <w:t xml:space="preserve">Sector guidance · finance function and the control environment</w:t>
      </w:r>
    </w:p>
    <w:p>
      <w:pPr>
        <w:spacing w:after="60"/>
        <w:jc w:val="center"/>
      </w:pPr>
      <w:r>
        <w:rPr>
          <w:b/>
          <w:bCs/>
          <w:color w:val="1B1A18"/>
          <w:sz w:val="38"/>
          <w:szCs w:val="38"/>
        </w:rPr>
        <w:t xml:space="preserve">The Close, the Controls, and the Record</w:t>
      </w:r>
    </w:p>
    <w:p>
      <w:pPr>
        <w:spacing w:after="150"/>
        <w:jc w:val="center"/>
      </w:pPr>
      <w:r>
        <w:rPr>
          <w:i/>
          <w:iCs/>
          <w:color w:val="6E6A62"/>
          <w:sz w:val="23"/>
          <w:szCs w:val="23"/>
        </w:rPr>
        <w:t xml:space="preserve">Agentic work inside the financial reporting chain</w:t>
      </w:r>
    </w:p>
    <w:p>
      <w:pPr>
        <w:spacing w:after="40"/>
        <w:jc w:val="center"/>
      </w:pPr>
      <w:r>
        <w:rPr>
          <w:color w:val="1B1A18"/>
          <w:sz w:val="20"/>
          <w:szCs w:val="20"/>
        </w:rPr>
        <w:t xml:space="preserve">Derived from What the Structure Does Not Carry · Georg Zangl</w:t>
      </w:r>
    </w:p>
    <w:p>
      <w:pPr>
        <w:spacing w:after="220"/>
        <w:jc w:val="center"/>
      </w:pPr>
      <w:r>
        <w:rPr>
          <w:b/>
          <w:bCs/>
          <w:color w:val="33302B"/>
          <w:sz w:val="18"/>
          <w:szCs w:val="18"/>
        </w:rPr>
        <w:t>MZ-FIN-004 v1.0 · 28 August 2026</w:t>
      </w: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80" w:line="264"/>
            </w:pPr>
            <w:r>
              <w:rPr>
                <w:b/>
                <w:bCs/>
                <w:color w:val="1B1A18"/>
                <w:sz w:val="20"/>
                <w:szCs w:val="20"/>
              </w:rPr>
              <w:t xml:space="preserve">Not legal, regulatory, or investment advice. </w:t>
            </w:r>
            <w:r>
              <w:rPr>
                <w:color w:val="1B1A18"/>
                <w:sz w:val="20"/>
                <w:szCs w:val="20"/>
              </w:rPr>
              <w:t xml:space="preserve">This is practice-support material written by an engineer, not a lawyer, compliance officer, or supervisor. It does not state the law or supervisory expectation of any jurisdiction. Every instrument, principle, and date named here must be checked against the text in force where the institution operates — several are moving in 2026. Its purpose is to supply mechanism: how systems fail at boundaries, and what evidence exists when they do.</w:t>
            </w:r>
          </w:p>
          <w:p>
            <w:pPr>
              <w:spacing w:after="0" w:line="264"/>
            </w:pPr>
            <w:r>
              <w:rPr>
                <w:b/>
                <w:bCs/>
                <w:color w:val="1B1A18"/>
                <w:sz w:val="20"/>
                <w:szCs w:val="20"/>
              </w:rPr>
              <w:t xml:space="preserve">Declaration of interest. </w:t>
            </w:r>
            <w:r>
              <w:rPr>
                <w:color w:val="1B1A18"/>
                <w:sz w:val="20"/>
                <w:szCs w:val="20"/>
              </w:rPr>
              <w:t xml:space="preserve">The author builds infrastructure of the kind this material argues for. The tests are derived from stated requirements rather than calibrated to any product, and are meant to be run against the author’s own systems first. Coined terms are unencumbered — not trademarked, not licensed, free to adopt or discard.</w:t>
            </w:r>
          </w:p>
        </w:tc>
      </w:tr>
    </w:tbl>
    <w:p>
      <w:pPr>
        <w:pStyle w:val="Heading1"/>
        <w:spacing w:after="130" w:before="300"/>
      </w:pPr>
      <w:r>
        <w:rPr>
          <w:b/>
          <w:bCs/>
          <w:color w:val="33302B"/>
          <w:sz w:val="29"/>
          <w:szCs w:val="29"/>
        </w:rPr>
        <w:t xml:space="preserve">1 · Why the finance function is the sharpest case in any sector</w:t>
      </w:r>
    </w:p>
    <w:p>
      <w:pPr>
        <w:spacing w:after="120" w:before="0" w:line="276"/>
      </w:pPr>
      <w:r>
        <w:rPr>
          <w:b w:val="false"/>
          <w:bCs w:val="false"/>
          <w:i w:val="false"/>
          <w:iCs w:val="false"/>
          <w:color w:val="1B1A18"/>
          <w:sz w:val="20"/>
          <w:szCs w:val="20"/>
        </w:rPr>
        <w:t xml:space="preserve">Most AI governance debate concerns decisions about people — credit, hiring, claims. The finance function is different in three ways that make the framework bite harder rather than softer.</w:t>
      </w:r>
    </w:p>
    <w:p>
      <w:pPr>
        <w:pStyle w:val="ListParagraph"/>
        <w:numPr>
          <w:ilvl w:val="0"/>
          <w:numId w:val="2"/>
        </w:numPr>
        <w:spacing w:after="70" w:line="276"/>
      </w:pPr>
      <w:r>
        <w:rPr>
          <w:b/>
          <w:bCs/>
          <w:color w:val="1B1A18"/>
          <w:sz w:val="20"/>
          <w:szCs w:val="20"/>
        </w:rPr>
        <w:t xml:space="preserve">The output is attested. </w:t>
      </w:r>
      <w:r>
        <w:rPr>
          <w:color w:val="1B1A18"/>
          <w:sz w:val="20"/>
          <w:szCs w:val="20"/>
        </w:rPr>
        <w:t xml:space="preserve">In a listed institution someone signs. Internal control over financial reporting is not a policy aspiration; it is a personal certification supported by evidence of operating effectiveness.</w:t>
      </w:r>
    </w:p>
    <w:p>
      <w:pPr>
        <w:pStyle w:val="ListParagraph"/>
        <w:numPr>
          <w:ilvl w:val="0"/>
          <w:numId w:val="2"/>
        </w:numPr>
        <w:spacing w:after="70" w:line="276"/>
      </w:pPr>
      <w:r>
        <w:rPr>
          <w:b/>
          <w:bCs/>
          <w:color w:val="1B1A18"/>
          <w:sz w:val="20"/>
          <w:szCs w:val="20"/>
        </w:rPr>
        <w:t xml:space="preserve">The controls are already boundary controls. </w:t>
      </w:r>
      <w:r>
        <w:rPr>
          <w:color w:val="1B1A18"/>
          <w:sz w:val="20"/>
          <w:szCs w:val="20"/>
        </w:rPr>
        <w:t xml:space="preserve">Segregation of duties, four eyes, three-way match, approval thresholds, reconciliation. Every one of them is a rule about what must be true when work passes from one party to another. The discipline the book describes is the discipline the finance function invented.</w:t>
      </w:r>
    </w:p>
    <w:p>
      <w:pPr>
        <w:pStyle w:val="ListParagraph"/>
        <w:numPr>
          <w:ilvl w:val="0"/>
          <w:numId w:val="2"/>
        </w:numPr>
        <w:spacing w:after="70" w:line="276"/>
      </w:pPr>
      <w:r>
        <w:rPr>
          <w:b/>
          <w:bCs/>
          <w:color w:val="1B1A18"/>
          <w:sz w:val="20"/>
          <w:szCs w:val="20"/>
        </w:rPr>
        <w:t xml:space="preserve">The failure is quantified by construction. </w:t>
      </w:r>
      <w:r>
        <w:rPr>
          <w:color w:val="1B1A18"/>
          <w:sz w:val="20"/>
          <w:szCs w:val="20"/>
        </w:rPr>
        <w:t xml:space="preserve">There is no debate about whether harm occurred. There is a number, and it appears in a restatement, a penalty, or a write-off.</w:t>
      </w:r>
    </w:p>
    <w:p>
      <w:pPr>
        <w:pStyle w:val="Heading1"/>
        <w:spacing w:after="130" w:before="300"/>
      </w:pPr>
      <w:r>
        <w:rPr>
          <w:b/>
          <w:bCs/>
          <w:color w:val="33302B"/>
          <w:sz w:val="29"/>
          <w:szCs w:val="29"/>
        </w:rPr>
        <w:t xml:space="preserve">2 · The consequence record to use</w:t>
      </w:r>
    </w:p>
    <w:p>
      <w:pPr>
        <w:spacing w:after="120" w:before="0" w:line="276"/>
      </w:pPr>
      <w:r>
        <w:rPr>
          <w:b w:val="false"/>
          <w:bCs w:val="false"/>
          <w:i w:val="false"/>
          <w:iCs w:val="false"/>
          <w:color w:val="1B1A18"/>
          <w:sz w:val="20"/>
          <w:szCs w:val="20"/>
        </w:rPr>
        <w:t xml:space="preserve">The Canadian federal payroll consolidation is the most instructive case available, because nothing about it was technological in origin. Pay administration was centralised and a new system introduced; the pay advisers who had held the interpretive knowledge of collective agreements, acting arrangements, and entitlement edge cases were removed from the process. Hundreds of thousands of pay errors followed, remediation ran for years, and the cost exceeded the savings the programme was built to deliver by a wide margin. Official audits and parliamentary reporting document it.</w:t>
      </w:r>
    </w:p>
    <w:p>
      <w:pPr>
        <w:spacing w:after="120" w:before="0" w:line="276"/>
      </w:pPr>
      <w:r>
        <w:rPr>
          <w:b w:val="false"/>
          <w:bCs w:val="false"/>
          <w:i w:val="false"/>
          <w:iCs w:val="false"/>
          <w:color w:val="1B1A18"/>
          <w:sz w:val="20"/>
          <w:szCs w:val="20"/>
        </w:rPr>
        <w:t xml:space="preserve">The tasks moved. The carriers of meaning did not move with them, and no system had ever been asked to hold what they held. That is the entire thesis of the book demonstrated in a payroll ledger, and it is directly transferable: an institution automating reconciliation, accruals, intercompany elimination, or revenue recognition is doing the same thing to a smaller population of people who hold the same kind of undocumented interpretive knowledge.</w:t>
      </w:r>
    </w:p>
    <w:p>
      <w:pPr>
        <w:spacing w:after="120"/>
      </w:pP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0" w:line="264"/>
            </w:pPr>
            <w:r>
              <w:rPr>
                <w:b/>
                <w:bCs/>
                <w:color w:val="1B1A18"/>
                <w:sz w:val="20"/>
                <w:szCs w:val="20"/>
              </w:rPr>
              <w:t xml:space="preserve">The diagnostic question for any finance automation proposal. </w:t>
            </w:r>
            <w:r>
              <w:rPr>
                <w:color w:val="1B1A18"/>
                <w:sz w:val="20"/>
                <w:szCs w:val="20"/>
              </w:rPr>
              <w:t xml:space="preserve">Name the judgement the person currently makes that is not written down anywhere. If nobody can name it, the process has not been understood well enough to automate — and the absence of an answer is the finding, not the completion of the review.</w:t>
            </w:r>
          </w:p>
        </w:tc>
      </w:tr>
    </w:tbl>
    <w:p>
      <w:pPr>
        <w:pStyle w:val="Heading1"/>
        <w:spacing w:after="130" w:before="300"/>
      </w:pPr>
      <w:r>
        <w:rPr>
          <w:b/>
          <w:bCs/>
          <w:color w:val="33302B"/>
          <w:sz w:val="29"/>
          <w:szCs w:val="29"/>
        </w:rPr>
        <w:t xml:space="preserve">3 · The six properties in the control environment</w:t>
      </w:r>
    </w:p>
    <w:p>
      <w:pPr>
        <w:spacing w:after="11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2200"/>
        <w:gridCol w:w="3900"/>
        <w:gridCol w:w="3980"/>
      </w:tblGrid>
      <w:tr>
        <w:trPr>
          <w:tblHeader/>
        </w:trPr>
        <w:tc>
          <w:tcPr>
            <w:tcW w:type="dxa" w:w="22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Property</w:t>
            </w:r>
          </w:p>
        </w:tc>
        <w:tc>
          <w:tcPr>
            <w:tcW w:type="dxa" w:w="39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How it appears in finance</w:t>
            </w:r>
          </w:p>
        </w:tc>
        <w:tc>
          <w:tcPr>
            <w:tcW w:type="dxa" w:w="39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The agentic failure</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Context</w:t>
            </w:r>
          </w:p>
        </w:tc>
        <w:tc>
          <w:tcPr>
            <w:tcW w:type="dxa" w:w="3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 figure carries a period, a basis, a status — draft, adjusted, restated, eliminated, provisional.</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 provisional accrual consumed downstream as final. Every value accurate, the statement wrong, and no data-quality control detects it because the data is not faulty.</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Authority</w:t>
            </w:r>
          </w:p>
        </w:tc>
        <w:tc>
          <w:tcPr>
            <w:tcW w:type="dxa" w:w="3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Approval thresholds, delegated signing authority, segregation of duties.</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An agent posts under a service account whose entitlements were granted for an integration years ago. Segregation of duties is defeated without any individual breaching it.</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Accountability</w:t>
            </w:r>
          </w:p>
        </w:tc>
        <w:tc>
          <w:tcPr>
            <w:tcW w:type="dxa" w:w="3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audit trail: who posted, who approved, under which policy, on what date.</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Attribution assembled after the fact from several systems. Sufficient for an internal explanation, insufficient for evidence of operating effectiveness.</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Coordination</w:t>
            </w:r>
          </w:p>
        </w:tc>
        <w:tc>
          <w:tcPr>
            <w:tcW w:type="dxa" w:w="3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Reconciliation, intercompany matching, consolidation rules applied consistently across entities.</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same rule implemented in three systems and drifting. Permanent reconciliation is treated as a staffing need rather than as an architectural finding.</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Execution coherence</w:t>
            </w:r>
          </w:p>
        </w:tc>
        <w:tc>
          <w:tcPr>
            <w:tcW w:type="dxa" w:w="3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Hard controls: a payment cannot exceed an approved limit; a period cannot post after close.</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rule enforced in the primary path and bypassed by an agentic path nobody enumerated. This is the Knight Capital shape applied to a ledger.</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Institutional memory</w:t>
            </w:r>
          </w:p>
        </w:tc>
        <w:tc>
          <w:tcPr>
            <w:tcW w:type="dxa" w:w="3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Retention, prior-period support, the ability to explain a treatment two years later.</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Records retained; the capability to perform the close manually lost. When the automated path fails at quarter end, nobody remembers how it was done.</w:t>
            </w:r>
          </w:p>
        </w:tc>
      </w:tr>
    </w:tbl>
    <w:p>
      <w:pPr>
        <w:pStyle w:val="Heading1"/>
        <w:spacing w:after="130" w:before="300"/>
      </w:pPr>
      <w:r>
        <w:rPr>
          <w:b/>
          <w:bCs/>
          <w:color w:val="33302B"/>
          <w:sz w:val="29"/>
          <w:szCs w:val="29"/>
        </w:rPr>
        <w:t xml:space="preserve">4 · Three tests for the finance function</w:t>
      </w:r>
    </w:p>
    <w:p>
      <w:pPr>
        <w:pStyle w:val="ListParagraph"/>
        <w:numPr>
          <w:ilvl w:val="0"/>
          <w:numId w:val="3"/>
        </w:numPr>
        <w:spacing w:after="70" w:line="276"/>
      </w:pPr>
      <w:r>
        <w:rPr>
          <w:b/>
          <w:bCs/>
          <w:color w:val="1B1A18"/>
          <w:sz w:val="20"/>
          <w:szCs w:val="20"/>
        </w:rPr>
        <w:t xml:space="preserve">The last-month test, run on a posting. </w:t>
      </w:r>
      <w:r>
        <w:rPr>
          <w:color w:val="1B1A18"/>
          <w:sz w:val="20"/>
          <w:szCs w:val="20"/>
        </w:rPr>
        <w:t xml:space="preserve">Select one journal entry from a prior period and require full attribution by query — acting identity, authority relied upon, the policy version in force at the time. This is precisely what an auditor will ask for, and rehearsing it internally is cheaper than discovering the answer during fieldwork.</w:t>
      </w:r>
    </w:p>
    <w:p>
      <w:pPr>
        <w:pStyle w:val="ListParagraph"/>
        <w:numPr>
          <w:ilvl w:val="0"/>
          <w:numId w:val="3"/>
        </w:numPr>
        <w:spacing w:after="70" w:line="276"/>
      </w:pPr>
      <w:r>
        <w:rPr>
          <w:b/>
          <w:bCs/>
          <w:color w:val="1B1A18"/>
          <w:sz w:val="20"/>
          <w:szCs w:val="20"/>
        </w:rPr>
        <w:t xml:space="preserve">The address test, run on the close calendar. </w:t>
      </w:r>
      <w:r>
        <w:rPr>
          <w:color w:val="1B1A18"/>
          <w:sz w:val="20"/>
          <w:szCs w:val="20"/>
        </w:rPr>
        <w:t xml:space="preserve">For each control that admits no exception — post-close posting prohibitions, payment ceilings, segregation requirements — identify the single enforcement point and confirm no agentic path reaches the action without passing it.</w:t>
      </w:r>
    </w:p>
    <w:p>
      <w:pPr>
        <w:pStyle w:val="ListParagraph"/>
        <w:numPr>
          <w:ilvl w:val="0"/>
          <w:numId w:val="3"/>
        </w:numPr>
        <w:spacing w:after="70" w:line="276"/>
      </w:pPr>
      <w:r>
        <w:rPr>
          <w:b/>
          <w:bCs/>
          <w:color w:val="1B1A18"/>
          <w:sz w:val="20"/>
          <w:szCs w:val="20"/>
        </w:rPr>
        <w:t xml:space="preserve">The two-invoices test, run on the agents themselves. </w:t>
      </w:r>
      <w:r>
        <w:rPr>
          <w:color w:val="1B1A18"/>
          <w:sz w:val="20"/>
          <w:szCs w:val="20"/>
        </w:rPr>
        <w:t xml:space="preserve">Cost and consumption per action for one agent over one month, from execution-time records. The finance function is the one part of the institution professionally incapable of accepting "we cannot attribute that" as an answer, which makes it the natural owner of this test for the whole enterprise.</w:t>
      </w:r>
    </w:p>
    <w:p>
      <w:pPr>
        <w:pStyle w:val="Heading1"/>
        <w:spacing w:after="130" w:before="300"/>
      </w:pPr>
      <w:r>
        <w:rPr>
          <w:b/>
          <w:bCs/>
          <w:color w:val="33302B"/>
          <w:sz w:val="29"/>
          <w:szCs w:val="29"/>
        </w:rPr>
        <w:t xml:space="preserve">5 · What to tell the external auditor, and when</w:t>
      </w:r>
    </w:p>
    <w:p>
      <w:pPr>
        <w:spacing w:after="120" w:before="0" w:line="276"/>
      </w:pPr>
      <w:r>
        <w:rPr>
          <w:b w:val="false"/>
          <w:bCs w:val="false"/>
          <w:i w:val="false"/>
          <w:iCs w:val="false"/>
          <w:color w:val="1B1A18"/>
          <w:sz w:val="20"/>
          <w:szCs w:val="20"/>
        </w:rPr>
        <w:t xml:space="preserve">Early, and in their vocabulary. An agentic process inside the reporting chain changes the nature of the evidence, and the two questions that follow are predictable: is the control automated or manual, and what evidence demonstrates it operated throughout the period?</w:t>
      </w:r>
    </w:p>
    <w:p>
      <w:pPr>
        <w:spacing w:after="120" w:before="0" w:line="276"/>
      </w:pPr>
      <w:r>
        <w:rPr>
          <w:b w:val="false"/>
          <w:bCs w:val="false"/>
          <w:i w:val="false"/>
          <w:iCs w:val="false"/>
          <w:color w:val="1B1A18"/>
          <w:sz w:val="20"/>
          <w:szCs w:val="20"/>
        </w:rPr>
        <w:t xml:space="preserve">A control enforced at a structural point, with records generated at execution, is a strong automated control and arguably easier to evidence than the manual predecessor. A control that depends on instructions given to a model is neither automated nor manual in any sense the audit framework recognises, and presenting it as automated is the position to avoid being in during fieldwork.</w:t>
      </w:r>
    </w:p>
    <w:p>
      <w:pPr>
        <w:spacing w:after="120" w:before="0" w:line="276"/>
      </w:pPr>
      <w:r>
        <w:rPr>
          <w:b w:val="false"/>
          <w:bCs w:val="false"/>
          <w:i w:val="false"/>
          <w:iCs w:val="false"/>
          <w:color w:val="1B1A18"/>
          <w:sz w:val="20"/>
          <w:szCs w:val="20"/>
        </w:rPr>
        <w:t xml:space="preserve">The distinction is worth settling before the process goes live rather than after, because the remediation cost differs by an order of magnitude.</w:t>
      </w:r>
    </w:p>
    <w:p>
      <w:pPr>
        <w:pStyle w:val="Heading1"/>
        <w:spacing w:after="130" w:before="300"/>
      </w:pPr>
      <w:r>
        <w:rPr>
          <w:b/>
          <w:bCs/>
          <w:color w:val="33302B"/>
          <w:sz w:val="29"/>
          <w:szCs w:val="29"/>
        </w:rPr>
        <w:t xml:space="preserve">6 · How to get this wrong</w:t>
      </w:r>
    </w:p>
    <w:p>
      <w:pPr>
        <w:pStyle w:val="ListParagraph"/>
        <w:numPr>
          <w:ilvl w:val="0"/>
          <w:numId w:val="2"/>
        </w:numPr>
        <w:spacing w:after="70" w:line="276"/>
      </w:pPr>
      <w:r>
        <w:rPr>
          <w:b/>
          <w:bCs/>
          <w:color w:val="1B1A18"/>
          <w:sz w:val="20"/>
          <w:szCs w:val="20"/>
        </w:rPr>
        <w:t xml:space="preserve">Automating the process before documenting the judgement. </w:t>
      </w:r>
      <w:r>
        <w:rPr>
          <w:color w:val="1B1A18"/>
          <w:sz w:val="20"/>
          <w:szCs w:val="20"/>
        </w:rPr>
        <w:t xml:space="preserve">The payroll case is what this looks like at national scale, and the cost was measured in years rather than in a quarter.</w:t>
      </w:r>
    </w:p>
    <w:p>
      <w:pPr>
        <w:pStyle w:val="ListParagraph"/>
        <w:numPr>
          <w:ilvl w:val="0"/>
          <w:numId w:val="2"/>
        </w:numPr>
        <w:spacing w:after="70" w:line="276"/>
      </w:pPr>
      <w:r>
        <w:rPr>
          <w:b/>
          <w:bCs/>
          <w:color w:val="1B1A18"/>
          <w:sz w:val="20"/>
          <w:szCs w:val="20"/>
        </w:rPr>
        <w:t xml:space="preserve">Classifying a model instruction as an automated control. </w:t>
      </w:r>
      <w:r>
        <w:rPr>
          <w:color w:val="1B1A18"/>
          <w:sz w:val="20"/>
          <w:szCs w:val="20"/>
        </w:rPr>
        <w:t xml:space="preserve">It will not survive testing, and the finding will be a control deficiency rather than a design observation.</w:t>
      </w:r>
    </w:p>
    <w:p>
      <w:pPr>
        <w:pStyle w:val="ListParagraph"/>
        <w:numPr>
          <w:ilvl w:val="0"/>
          <w:numId w:val="2"/>
        </w:numPr>
        <w:spacing w:after="70" w:line="276"/>
      </w:pPr>
      <w:r>
        <w:rPr>
          <w:b/>
          <w:bCs/>
          <w:color w:val="1B1A18"/>
          <w:sz w:val="20"/>
          <w:szCs w:val="20"/>
        </w:rPr>
        <w:t xml:space="preserve">Treating permanent reconciliation as a resourcing question. </w:t>
      </w:r>
      <w:r>
        <w:rPr>
          <w:color w:val="1B1A18"/>
          <w:sz w:val="20"/>
          <w:szCs w:val="20"/>
        </w:rPr>
        <w:t xml:space="preserve">It is the visible symptom of the same invariant implemented in more than one place.</w:t>
      </w:r>
    </w:p>
    <w:p>
      <w:pPr>
        <w:pStyle w:val="ListParagraph"/>
        <w:numPr>
          <w:ilvl w:val="0"/>
          <w:numId w:val="2"/>
        </w:numPr>
        <w:spacing w:after="70" w:line="276"/>
      </w:pPr>
      <w:r>
        <w:rPr>
          <w:b/>
          <w:bCs/>
          <w:color w:val="1B1A18"/>
          <w:sz w:val="20"/>
          <w:szCs w:val="20"/>
        </w:rPr>
        <w:t xml:space="preserve">Retaining records while losing the manual capability. </w:t>
      </w:r>
      <w:r>
        <w:rPr>
          <w:color w:val="1B1A18"/>
          <w:sz w:val="20"/>
          <w:szCs w:val="20"/>
        </w:rPr>
        <w:t xml:space="preserve">Retention satisfies the archive. It does not satisfy the quarter end when the automated path is unavailable.</w:t>
      </w:r>
    </w:p>
    <w:p>
      <w:pPr>
        <w:pStyle w:val="Heading1"/>
        <w:spacing w:after="130" w:before="300"/>
      </w:pPr>
      <w:r>
        <w:rPr>
          <w:b/>
          <w:bCs/>
          <w:color w:val="33302B"/>
          <w:sz w:val="29"/>
          <w:szCs w:val="29"/>
        </w:rPr>
        <w:t xml:space="preserve">7 · Limits</w:t>
      </w:r>
    </w:p>
    <w:p>
      <w:pPr>
        <w:spacing w:after="120" w:before="0" w:line="276"/>
      </w:pPr>
      <w:r>
        <w:rPr>
          <w:b w:val="false"/>
          <w:bCs w:val="false"/>
          <w:i w:val="false"/>
          <w:iCs w:val="false"/>
          <w:color w:val="1B1A18"/>
          <w:sz w:val="20"/>
          <w:szCs w:val="20"/>
        </w:rPr>
        <w:t xml:space="preserve">This material addresses what structures carry across boundaries in the reporting chain. It is not accounting, audit, or tax advice, states no accounting standard or audit requirement, and does not describe the internal control framework of any jurisdiction. Case descriptions are drawn from official audits and public reporting and are given as records rather than as authority. Apply the standards and framework in force, and take advice from the institution’s auditors on anything touching attestation.</w:t>
      </w:r>
    </w:p>
    <w:p>
      <w:pPr>
        <w:pBdr>
          <w:top w:val="single" w:color="D6D2C9" w:sz="4" w:space="8"/>
        </w:pBdr>
        <w:spacing w:after="100" w:before="360"/>
      </w:pPr>
    </w:p>
    <w:p>
      <w:pPr>
        <w:spacing w:after="60"/>
      </w:pPr>
      <w:r>
        <w:rPr>
          <w:b/>
          <w:bCs/>
          <w:color w:val="33302B"/>
          <w:sz w:val="17"/>
          <w:szCs w:val="17"/>
        </w:rPr>
        <w:t xml:space="preserve">Author’s note</w:t>
      </w:r>
    </w:p>
    <w:p>
      <w:pPr>
        <w:spacing w:after="0" w:line="250"/>
      </w:pPr>
      <w:r>
        <w:rPr>
          <w:color w:val="6E6A62"/>
          <w:sz w:val="17"/>
          <w:szCs w:val="17"/>
        </w:rPr>
        <w:t xml:space="preserve">The content of this document is the author’s. The framework, the six properties, the four axioms, the nine tests and the consequence records are drawn from </w:t>
      </w:r>
      <w:r>
        <w:rPr>
          <w:i/>
          <w:iCs/>
          <w:color w:val="6E6A62"/>
          <w:sz w:val="17"/>
          <w:szCs w:val="17"/>
        </w:rPr>
        <w:t xml:space="preserve">What the Structure Does Not Carry</w:t>
      </w:r>
      <w:r>
        <w:rPr>
          <w:color w:val="6E6A62"/>
          <w:sz w:val="17"/>
          <w:szCs w:val="17"/>
        </w:rPr>
        <w:t xml:space="preserve"> (Georg Zangl, 2026). The document was drafted with the assistance of Claude, an AI assistant made by Anthropic. The author has reviewed it and holds editorial responsibility for it.</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6E6A62"/>
        <w:sz w:val="16"/>
        <w:szCs w:val="16"/>
      </w:rPr>
      <w:t xml:space="preserve">MZ-FIN-004 v1.0  •  sector guidance — not legal, audit, or accounting advice  •  Page </w:t>
    </w:r>
    <w:r>
      <w:rPr>
        <w:color w:val="6E6A62"/>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E6A62"/>
        <w:sz w:val="16"/>
        <w:szCs w:val="16"/>
      </w:rPr>
      <w:t xml:space="preserve">MZ-FIN-004 · finance function and the control environment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33302B"/>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2026-08-18T06:30:51.842Z</dcterms:created>
  <dcterms:modified xsi:type="dcterms:W3CDTF">2026-08-18T06:30:51.842Z</dcterms:modified>
</cp:coreProperties>
</file>

<file path=docProps/custom.xml><?xml version="1.0" encoding="utf-8"?>
<Properties xmlns="http://schemas.openxmlformats.org/officeDocument/2006/custom-properties" xmlns:vt="http://schemas.openxmlformats.org/officeDocument/2006/docPropsVTypes"/>
</file>