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Professional certificate · financial services cohort</w:t>
      </w:r>
    </w:p>
    <w:p>
      <w:pPr>
        <w:spacing w:after="60"/>
        <w:jc w:val="center"/>
      </w:pPr>
      <w:r>
        <w:rPr>
          <w:b/>
          <w:bCs/>
          <w:color w:val="1B1A18"/>
          <w:sz w:val="38"/>
          <w:szCs w:val="38"/>
        </w:rPr>
        <w:t xml:space="preserve">Custody in the Regulated Institution</w:t>
      </w:r>
    </w:p>
    <w:p>
      <w:pPr>
        <w:spacing w:after="150"/>
        <w:jc w:val="center"/>
      </w:pPr>
      <w:r>
        <w:rPr>
          <w:i/>
          <w:iCs/>
          <w:color w:val="6E6A62"/>
          <w:sz w:val="23"/>
          <w:szCs w:val="23"/>
        </w:rPr>
        <w:t xml:space="preserve">Governing Agentic AI Across the Three Lines of Defence</w:t>
      </w:r>
    </w:p>
    <w:p>
      <w:pPr>
        <w:spacing w:after="40"/>
        <w:jc w:val="center"/>
      </w:pPr>
      <w:r>
        <w:rPr>
          <w:color w:val="1B1A18"/>
          <w:sz w:val="20"/>
          <w:szCs w:val="20"/>
        </w:rPr>
        <w:t xml:space="preserve">Course syllabus — adapted from What the Structure Does Not Carry · Georg Zangl · Foreword by Egbert U. Imomoh · 2026</w:t>
      </w:r>
    </w:p>
    <w:p>
      <w:pPr>
        <w:spacing w:after="220"/>
        <w:jc w:val="center"/>
      </w:pPr>
      <w:r>
        <w:rPr>
          <w:b/>
          <w:bCs/>
          <w:color w:val="33302B"/>
          <w:sz w:val="18"/>
          <w:szCs w:val="18"/>
        </w:rPr>
        <w:t>PCERT-FS · v1.0 · 28 August 2026</w:t>
      </w:r>
    </w:p>
    <w:p>
      <w:pPr>
        <w:pStyle w:val="Heading1"/>
        <w:spacing w:after="130" w:before="300"/>
      </w:pPr>
      <w:r>
        <w:rPr>
          <w:b/>
          <w:bCs/>
          <w:color w:val="33302B"/>
          <w:sz w:val="29"/>
          <w:szCs w:val="29"/>
        </w:rPr>
        <w:t xml:space="preserve">Course overview</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700"/>
        <w:gridCol w:w="7380"/>
      </w:tblGrid>
      <w:tr>
        <w:trPr>
          <w:tblHeader/>
        </w:trPr>
        <w:tc>
          <w:tcPr>
            <w:tcW w:type="dxa" w:w="27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Field</w:t>
            </w:r>
          </w:p>
        </w:tc>
        <w:tc>
          <w:tcPr>
            <w:tcW w:type="dxa" w:w="73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Detail</w:t>
            </w:r>
          </w:p>
        </w:tc>
      </w:tr>
      <w:tr>
        <w:tc>
          <w:tcPr>
            <w:tcW w:type="dxa" w:w="2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Programme code</w:t>
            </w:r>
          </w:p>
        </w:tc>
        <w:tc>
          <w:tcPr>
            <w:tcW w:type="dxa" w:w="73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PCERT-FS (suggested)</w:t>
            </w:r>
          </w:p>
        </w:tc>
      </w:tr>
      <w:tr>
        <w:tc>
          <w:tcPr>
            <w:tcW w:type="dxa" w:w="2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Level</w:t>
            </w:r>
          </w:p>
        </w:tc>
        <w:tc>
          <w:tcPr>
            <w:tcW w:type="dxa" w:w="73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Professional / post-experience (non-degree)</w:t>
            </w:r>
          </w:p>
        </w:tc>
      </w:tr>
      <w:tr>
        <w:tc>
          <w:tcPr>
            <w:tcW w:type="dxa" w:w="2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Credits</w:t>
            </w:r>
          </w:p>
        </w:tc>
        <w:tc>
          <w:tcPr>
            <w:tcW w:type="dxa" w:w="73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6 CEUs / digital badge; ‘with distinction’ available</w:t>
            </w:r>
          </w:p>
        </w:tc>
      </w:tr>
      <w:tr>
        <w:tc>
          <w:tcPr>
            <w:tcW w:type="dxa" w:w="2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Duration</w:t>
            </w:r>
          </w:p>
        </w:tc>
        <w:tc>
          <w:tcPr>
            <w:tcW w:type="dxa" w:w="73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6 weeks · one 2.5-hour live cohort session per week + applied exercise inside the participant’s own institution</w:t>
            </w:r>
          </w:p>
        </w:tc>
      </w:tr>
      <w:tr>
        <w:tc>
          <w:tcPr>
            <w:tcW w:type="dxa" w:w="2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Format</w:t>
            </w:r>
          </w:p>
        </w:tc>
        <w:tc>
          <w:tcPr>
            <w:tcW w:type="dxa" w:w="73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Cohort-based clinics. Every module ends in an artefact that can go to a risk committee, a model risk function, or an audit file.</w:t>
            </w:r>
          </w:p>
        </w:tc>
      </w:tr>
      <w:tr>
        <w:tc>
          <w:tcPr>
            <w:tcW w:type="dxa" w:w="2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Prerequisites</w:t>
            </w:r>
          </w:p>
        </w:tc>
        <w:tc>
          <w:tcPr>
            <w:tcW w:type="dxa" w:w="73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Working experience in second-line risk, model risk, compliance, internal audit, operational resilience, or the finance function. No technical prerequisite and no architecture background required — this is the sector variant of PCERT-CA and deliberately assumes the opposite starting point.</w:t>
            </w:r>
          </w:p>
        </w:tc>
      </w:tr>
      <w:tr>
        <w:tc>
          <w:tcPr>
            <w:tcW w:type="dxa" w:w="2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Audience</w:t>
            </w:r>
          </w:p>
        </w:tc>
        <w:tc>
          <w:tcPr>
            <w:tcW w:type="dxa" w:w="73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Banks, insurers, asset managers, payment institutions, market infrastructure. Mixed-line cohorts are preferred: the first line hears what the third line will ask, and the third line learns what the first line can actually demonstrate.</w:t>
            </w:r>
          </w:p>
        </w:tc>
      </w:tr>
      <w:tr>
        <w:tc>
          <w:tcPr>
            <w:tcW w:type="dxa" w:w="2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Cohort size</w:t>
            </w:r>
          </w:p>
        </w:tc>
        <w:tc>
          <w:tcPr>
            <w:tcW w:type="dxa" w:w="73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12–18. The clinics depend on participants bringing real deployments, which fails above roughly twenty.</w:t>
            </w:r>
          </w:p>
        </w:tc>
      </w:tr>
      <w:tr>
        <w:tc>
          <w:tcPr>
            <w:tcW w:type="dxa" w:w="2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Instructor</w:t>
            </w:r>
          </w:p>
        </w:tc>
        <w:tc>
          <w:tcPr>
            <w:tcW w:type="dxa" w:w="73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[Instructor name] · [email] · Cohort channel: [link]</w:t>
            </w:r>
          </w:p>
        </w:tc>
      </w:tr>
    </w:tbl>
    <w:p>
      <w:pPr>
        <w:pStyle w:val="Heading1"/>
        <w:spacing w:after="130" w:before="300"/>
      </w:pPr>
      <w:r>
        <w:rPr>
          <w:b/>
          <w:bCs/>
          <w:color w:val="33302B"/>
          <w:sz w:val="29"/>
          <w:szCs w:val="29"/>
        </w:rPr>
        <w:t xml:space="preserve">About the source text</w:t>
      </w:r>
    </w:p>
    <w:p>
      <w:pPr>
        <w:spacing w:after="120" w:before="0" w:line="276"/>
      </w:pPr>
      <w:r>
        <w:rPr>
          <w:b w:val="false"/>
          <w:bCs w:val="false"/>
          <w:i w:val="false"/>
          <w:iCs w:val="false"/>
          <w:color w:val="1B1A18"/>
          <w:sz w:val="20"/>
          <w:szCs w:val="20"/>
        </w:rPr>
        <w:t xml:space="preserve">What the Structure Does Not Carry argues that an enterprise is not its systems but a small set of properties that must survive every boundary a piece of work crosses: context, authority, accountability, coordination, execution coherence, and institutional memory. For four decades a hidden layer of people carried those properties by hand across the gaps in every architecture diagram. Agentic AI does not create a new requirement — it withdraws that subsidy. The book states the governing law, derives what any structure must do to satisfy it, and closes with an evaluation protocol and a set of custody rules.</w:t>
      </w:r>
    </w:p>
    <w:p>
      <w:pPr>
        <w:spacing w:after="120" w:before="0" w:line="276"/>
      </w:pPr>
      <w:r>
        <w:rPr>
          <w:b w:val="false"/>
          <w:bCs w:val="false"/>
          <w:i w:val="false"/>
          <w:iCs w:val="false"/>
          <w:color w:val="1B1A18"/>
          <w:sz w:val="20"/>
          <w:szCs w:val="20"/>
        </w:rPr>
        <w:t xml:space="preserve">This sector version starts somewhere else. Financial services already requires five of the six properties, in instruments written years or decades before work crossed system boundaries at machine speed: risk data aggregation principles for context and coordination, delegated authority and mandate frameworks for authority, audit trail and record-keeping rules for accountability, pre-trade controls and kill functionality for coherence, retention expectations for memory. The course therefore does not teach a new framework. It teaches participants to find the places where obligations the institution already carries have quietly become unowned.</w:t>
      </w:r>
    </w:p>
    <w:p>
      <w:pPr>
        <w:spacing w:after="12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sector’s own precedent, used from module one. </w:t>
            </w:r>
            <w:r>
              <w:rPr>
                <w:color w:val="1B1A18"/>
                <w:sz w:val="20"/>
                <w:szCs w:val="20"/>
              </w:rPr>
              <w:t xml:space="preserve">The principles for effective risk data aggregation and risk reporting were issued in 2013 and required accuracy, completeness, timeliness and lineage. Supervisory reviews have found adoption incomplete more than a decade later, at institutions with real budgets and genuine intent. The reason is the argument of this course: those principles asked for properties the architecture did not carry, and people carried them instead — analysts reconciling, controllers interpreting, risk staff knowing which figure to trust. The effort was invisible because it was salaried. Agentic deployment removes those people from the boundary, and the gap the institution never closed becomes visible.</w:t>
            </w:r>
          </w:p>
        </w:tc>
      </w:tr>
    </w:tbl>
    <w:p>
      <w:pPr>
        <w:pStyle w:val="Heading1"/>
        <w:spacing w:after="130" w:before="300"/>
      </w:pPr>
      <w:r>
        <w:rPr>
          <w:b/>
          <w:bCs/>
          <w:color w:val="33302B"/>
          <w:sz w:val="29"/>
          <w:szCs w:val="29"/>
        </w:rPr>
        <w:t xml:space="preserve">Course description</w:t>
      </w:r>
    </w:p>
    <w:p>
      <w:pPr>
        <w:spacing w:after="120" w:before="0" w:line="276"/>
      </w:pPr>
      <w:r>
        <w:rPr>
          <w:b w:val="false"/>
          <w:bCs w:val="false"/>
          <w:i w:val="false"/>
          <w:iCs w:val="false"/>
          <w:color w:val="1B1A18"/>
          <w:sz w:val="20"/>
          <w:szCs w:val="20"/>
        </w:rPr>
        <w:t xml:space="preserve">An applied programme for people who own controls rather than systems. Participants learn to locate the crossings inside a real process, diagnose which of the six properties are in custody and which are not, and run the evaluation protocol against a live or vendor-supplied agentic deployment — producing, by the end, a custody assessment written in the institution’s own control language rather than in the vocabulary of this book.</w:t>
      </w:r>
    </w:p>
    <w:p>
      <w:pPr>
        <w:spacing w:after="120" w:before="0" w:line="276"/>
      </w:pPr>
      <w:r>
        <w:rPr>
          <w:b w:val="false"/>
          <w:bCs w:val="false"/>
          <w:i w:val="false"/>
          <w:iCs w:val="false"/>
          <w:color w:val="1B1A18"/>
          <w:sz w:val="20"/>
          <w:szCs w:val="20"/>
        </w:rPr>
        <w:t xml:space="preserve">The emphasis throughout is on demonstration over documentation. A control library can describe a system that does not do what the library says; a demonstration at a boundary cannot. Participants leave able to ask for the demonstration, recognise an evasive answer, and record a verdict that survives challenge from the first line and from an external examiner. Vendor- and stack-neutral by design, and no source code, model weights, or training data are required for any exercise in the course.</w:t>
      </w:r>
    </w:p>
    <w:p>
      <w:pPr>
        <w:pStyle w:val="Heading1"/>
        <w:spacing w:after="130" w:before="300"/>
      </w:pPr>
      <w:r>
        <w:rPr>
          <w:b/>
          <w:bCs/>
          <w:color w:val="33302B"/>
          <w:sz w:val="29"/>
          <w:szCs w:val="29"/>
        </w:rPr>
        <w:t xml:space="preserve">Learning outcomes</w:t>
      </w:r>
    </w:p>
    <w:p>
      <w:pPr>
        <w:spacing w:after="120" w:before="0" w:line="276"/>
      </w:pPr>
      <w:r>
        <w:rPr>
          <w:b w:val="false"/>
          <w:bCs w:val="false"/>
          <w:i w:val="false"/>
          <w:iCs w:val="false"/>
          <w:color w:val="1B1A18"/>
          <w:sz w:val="20"/>
          <w:szCs w:val="20"/>
        </w:rPr>
        <w:t xml:space="preserve">On successful completion, participants will be able to:</w:t>
      </w:r>
    </w:p>
    <w:p>
      <w:pPr>
        <w:pStyle w:val="ListParagraph"/>
        <w:numPr>
          <w:ilvl w:val="0"/>
          <w:numId w:val="2"/>
        </w:numPr>
        <w:spacing w:after="70" w:line="276"/>
      </w:pPr>
      <w:r>
        <w:rPr>
          <w:color w:val="1B1A18"/>
          <w:sz w:val="20"/>
          <w:szCs w:val="20"/>
        </w:rPr>
        <w:t xml:space="preserve">Locate the crossings in a process they own, and state what each boundary is specified to carry.</w:t>
      </w:r>
    </w:p>
    <w:p>
      <w:pPr>
        <w:pStyle w:val="ListParagraph"/>
        <w:numPr>
          <w:ilvl w:val="0"/>
          <w:numId w:val="2"/>
        </w:numPr>
        <w:spacing w:after="70" w:line="276"/>
      </w:pPr>
      <w:r>
        <w:rPr>
          <w:color w:val="1B1A18"/>
          <w:sz w:val="20"/>
          <w:szCs w:val="20"/>
        </w:rPr>
        <w:t xml:space="preserve">Map each of the six properties to the instrument in the institution’s existing framework that already requires it, and identify the properties currently owned by nobody.</w:t>
      </w:r>
    </w:p>
    <w:p>
      <w:pPr>
        <w:pStyle w:val="ListParagraph"/>
        <w:numPr>
          <w:ilvl w:val="0"/>
          <w:numId w:val="2"/>
        </w:numPr>
        <w:spacing w:after="70" w:line="276"/>
      </w:pPr>
      <w:r>
        <w:rPr>
          <w:color w:val="1B1A18"/>
          <w:sz w:val="20"/>
          <w:szCs w:val="20"/>
        </w:rPr>
        <w:t xml:space="preserve">Determine, for any rule that admits no exception, where it is physically enforced — and disqualify enforcement that rests on instructions given to a probabilistic component.</w:t>
      </w:r>
    </w:p>
    <w:p>
      <w:pPr>
        <w:pStyle w:val="ListParagraph"/>
        <w:numPr>
          <w:ilvl w:val="0"/>
          <w:numId w:val="2"/>
        </w:numPr>
        <w:spacing w:after="70" w:line="276"/>
      </w:pPr>
      <w:r>
        <w:rPr>
          <w:color w:val="1B1A18"/>
          <w:sz w:val="20"/>
          <w:szCs w:val="20"/>
        </w:rPr>
        <w:t xml:space="preserve">Distinguish a record generated at execution from a reconstruction assembled afterwards, and require the evidence that separates them.</w:t>
      </w:r>
    </w:p>
    <w:p>
      <w:pPr>
        <w:pStyle w:val="ListParagraph"/>
        <w:numPr>
          <w:ilvl w:val="0"/>
          <w:numId w:val="2"/>
        </w:numPr>
        <w:spacing w:after="70" w:line="276"/>
      </w:pPr>
      <w:r>
        <w:rPr>
          <w:color w:val="1B1A18"/>
          <w:sz w:val="20"/>
          <w:szCs w:val="20"/>
        </w:rPr>
        <w:t xml:space="preserve">Produce a dependency census that reaches the model and inference layer, and test one substitution path against it.</w:t>
      </w:r>
    </w:p>
    <w:p>
      <w:pPr>
        <w:pStyle w:val="ListParagraph"/>
        <w:numPr>
          <w:ilvl w:val="0"/>
          <w:numId w:val="2"/>
        </w:numPr>
        <w:spacing w:after="70" w:line="276"/>
      </w:pPr>
      <w:r>
        <w:rPr>
          <w:color w:val="1B1A18"/>
          <w:sz w:val="20"/>
          <w:szCs w:val="20"/>
        </w:rPr>
        <w:t xml:space="preserve">Write a custody assessment in the institution’s control language, with per-test verdicts, that can be tabled at a risk committee or filed by internal audit.</w:t>
      </w:r>
    </w:p>
    <w:p>
      <w:pPr>
        <w:pStyle w:val="Heading1"/>
        <w:spacing w:after="130" w:before="300"/>
      </w:pPr>
      <w:r>
        <w:rPr>
          <w:b/>
          <w:bCs/>
          <w:color w:val="33302B"/>
          <w:sz w:val="29"/>
          <w:szCs w:val="29"/>
        </w:rPr>
        <w:t xml:space="preserve">Texts and materials</w:t>
      </w:r>
    </w:p>
    <w:p>
      <w:pPr>
        <w:spacing w:after="120" w:before="0" w:line="276"/>
      </w:pPr>
      <w:r>
        <w:rPr>
          <w:b w:val="false"/>
          <w:bCs w:val="false"/>
          <w:i w:val="false"/>
          <w:iCs w:val="false"/>
          <w:color w:val="1B1A18"/>
          <w:sz w:val="20"/>
          <w:szCs w:val="20"/>
        </w:rPr>
        <w:t xml:space="preserve">Recommended (optional): Georg Zangl, What the Structure Does Not Carry (2026). The course is built on this book, but buying it is not required to take it or to pass it — the capstone is deliberately written in the institution’s own control language, not the book’s. Every idea, test, and case the course rests on is developed in the modules and provided in the course materials (cohort slides and the case pack, MZ-EDU-FS-002). The chapter references in the schedule are for participants who choose to read the book (Kindle edition ~US$2.99); they are optional enrichment and never a prerequisite for any graded work.</w:t>
      </w:r>
    </w:p>
    <w:p>
      <w:pPr>
        <w:spacing w:after="120" w:before="0" w:line="276"/>
      </w:pPr>
      <w:r>
        <w:rPr>
          <w:b w:val="false"/>
          <w:bCs w:val="false"/>
          <w:i w:val="false"/>
          <w:iCs w:val="false"/>
          <w:color w:val="1B1A18"/>
          <w:sz w:val="20"/>
          <w:szCs w:val="20"/>
        </w:rPr>
        <w:t xml:space="preserve">Sector materials: the case pack accompanying this course (MZ-EDU-FS-002), which carries six consequence records with their primary sources. Participants should also bring their institution’s own control framework — whichever risk data aggregation, model risk, and operational resilience instruments apply to it — because the mapping exercises use the institution’s documents rather than generic ones.</w:t>
      </w:r>
    </w:p>
    <w:p>
      <w:pPr>
        <w:spacing w:after="120" w:before="0" w:line="276"/>
      </w:pPr>
      <w:r>
        <w:rPr>
          <w:b w:val="false"/>
          <w:bCs w:val="false"/>
          <w:i w:val="false"/>
          <w:iCs w:val="false"/>
          <w:color w:val="1B1A18"/>
          <w:sz w:val="20"/>
          <w:szCs w:val="20"/>
        </w:rPr>
        <w:t xml:space="preserve">External evidence: The 2026 Global AI in Financial Services Report (Cambridge Centre for Alternative Finance, University of Cambridge, April 2026; 628 organisations across 151 jurisdictions) supplies the adoption, risk, concentration, and measurement figures used in class. Figures, their respondent cuts, and their placement are held in the Evidence Base file (folder 8); figures are as at April 2026 and will age, and the teaching materials themselves deliberately carry none.</w:t>
      </w:r>
    </w:p>
    <w:p>
      <w:pPr>
        <w:spacing w:after="120" w:before="0" w:line="276"/>
      </w:pPr>
      <w:r>
        <w:rPr>
          <w:b w:val="false"/>
          <w:bCs w:val="false"/>
          <w:i w:val="false"/>
          <w:iCs w:val="false"/>
          <w:color w:val="1B1A18"/>
          <w:sz w:val="20"/>
          <w:szCs w:val="20"/>
        </w:rPr>
        <w:t xml:space="preserve">No vendor documentation or reference architecture is required — by design.</w:t>
      </w:r>
    </w:p>
    <w:p>
      <w:pPr>
        <w:pStyle w:val="Heading1"/>
        <w:spacing w:after="130" w:before="300"/>
      </w:pPr>
      <w:r>
        <w:rPr>
          <w:b/>
          <w:bCs/>
          <w:color w:val="33302B"/>
          <w:sz w:val="29"/>
          <w:szCs w:val="29"/>
        </w:rPr>
        <w:t xml:space="preserve">Weekly schedule</w:t>
      </w:r>
    </w:p>
    <w:p>
      <w:pPr>
        <w:spacing w:after="140" w:line="276"/>
      </w:pPr>
      <w:r>
        <w:rPr>
          <w:i/>
          <w:iCs/>
          <w:color w:val="6E6A62"/>
          <w:sz w:val="20"/>
          <w:szCs w:val="20"/>
        </w:rPr>
        <w:t xml:space="preserve">The chapter references in the schedule are optional; the modules and course materials cover everything the assessments require. Every exercise is performed on the participant’s own institution unless a supplied case is specified.</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620"/>
        <w:gridCol w:w="2500"/>
        <w:gridCol w:w="2100"/>
        <w:gridCol w:w="4860"/>
      </w:tblGrid>
      <w:tr>
        <w:trPr>
          <w:tblHeader/>
        </w:trPr>
        <w:tc>
          <w:tcPr>
            <w:tcW w:type="dxa" w:w="62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Wk</w:t>
            </w:r>
          </w:p>
        </w:tc>
        <w:tc>
          <w:tcPr>
            <w:tcW w:type="dxa" w:w="2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Topic / session</w:t>
            </w:r>
          </w:p>
        </w:tc>
        <w:tc>
          <w:tcPr>
            <w:tcW w:type="dxa" w:w="21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Optional reading (book)</w:t>
            </w:r>
          </w:p>
        </w:tc>
        <w:tc>
          <w:tcPr>
            <w:tcW w:type="dxa" w:w="486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In-class / assignment</w:t>
            </w:r>
          </w:p>
        </w:tc>
      </w:tr>
      <w:tr>
        <w:tc>
          <w:tcPr>
            <w:tcW w:type="dxa" w:w="62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crossing as the unit — and why the sector’s controls are already boundary controls</w:t>
            </w:r>
          </w:p>
        </w:tc>
        <w:tc>
          <w:tcPr>
            <w:tcW w:type="dxa" w:w="2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Part I; Ch. 4 (law)</w:t>
            </w:r>
          </w:p>
        </w:tc>
        <w:tc>
          <w:tcPr>
            <w:tcW w:type="dxa" w:w="486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Exercise: take one process you own — a close step, a limit check, a payment path, an onboarding decision — and map its crossings. Name what each boundary is specified to carry. Due wk 2.</w:t>
            </w:r>
          </w:p>
        </w:tc>
      </w:tr>
      <w:tr>
        <w:tc>
          <w:tcPr>
            <w:tcW w:type="dxa" w:w="62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six properties against the institution’s own control framework</w:t>
            </w:r>
          </w:p>
        </w:tc>
        <w:tc>
          <w:tcPr>
            <w:tcW w:type="dxa" w:w="2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 4 (properties); Ch. 6</w:t>
            </w:r>
          </w:p>
        </w:tc>
        <w:tc>
          <w:tcPr>
            <w:tcW w:type="dxa" w:w="486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Clinic: map each property to the instrument that already requires it. Identify which property has no owner. Expect the answer to be authority. Diagnostic drill on failure signatures.</w:t>
            </w:r>
          </w:p>
        </w:tc>
      </w:tr>
      <w:tr>
        <w:tc>
          <w:tcPr>
            <w:tcW w:type="dxa" w:w="62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3</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Determinism, enforcement, and oversight that cannot scale</w:t>
            </w:r>
          </w:p>
        </w:tc>
        <w:tc>
          <w:tcPr>
            <w:tcW w:type="dxa" w:w="2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 5; Ch. 9; Ch. 18</w:t>
            </w:r>
          </w:p>
        </w:tc>
        <w:tc>
          <w:tcPr>
            <w:tcW w:type="dxa" w:w="486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Address test on five of the institution’s hard limits. Then the oversight question: for each control resting on human review, establish whether review is real at volume, and record which of the three honest responses applies.</w:t>
            </w:r>
          </w:p>
        </w:tc>
      </w:tr>
      <w:tr>
        <w:tc>
          <w:tcPr>
            <w:tcW w:type="dxa" w:w="62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Evidence: the record, the reconstruction, and provenance</w:t>
            </w:r>
          </w:p>
        </w:tc>
        <w:tc>
          <w:tcPr>
            <w:tcW w:type="dxa" w:w="2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 4; Ch. 12; Ch. 14–15; Ch. 18</w:t>
            </w:r>
          </w:p>
        </w:tc>
        <w:tc>
          <w:tcPr>
            <w:tcW w:type="dxa" w:w="486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Last-month test on a live deployment: one transaction from at least a month earlier, full attribution by query, including the rule version then in force. Provenance review of one retrieval path.</w:t>
            </w:r>
          </w:p>
        </w:tc>
      </w:tr>
      <w:tr>
        <w:tc>
          <w:tcPr>
            <w:tcW w:type="dxa" w:w="62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5</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Dependency, concentration, and cost</w:t>
            </w:r>
          </w:p>
        </w:tc>
        <w:tc>
          <w:tcPr>
            <w:tcW w:type="dxa" w:w="2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 16–17; Ch. 19–20</w:t>
            </w:r>
          </w:p>
        </w:tc>
        <w:tc>
          <w:tcPr>
            <w:tcW w:type="dxa" w:w="486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Dependency census reaching the model and inference layer; one substitution path tested; two-invoices test on one agent for one month. Compare the census against the institution’s existing third-party register.</w:t>
            </w:r>
          </w:p>
        </w:tc>
      </w:tr>
      <w:tr>
        <w:tc>
          <w:tcPr>
            <w:tcW w:type="dxa" w:w="62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6</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protocol applied; the custody rules; capstone review</w:t>
            </w:r>
          </w:p>
        </w:tc>
        <w:tc>
          <w:tcPr>
            <w:tcW w:type="dxa" w:w="2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 22–23</w:t>
            </w:r>
          </w:p>
        </w:tc>
        <w:tc>
          <w:tcPr>
            <w:tcW w:type="dxa" w:w="486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Full protocol dry-run against a supplied vendor case. Capstone custody assessment due; structured peer review in cohort.</w:t>
            </w:r>
          </w:p>
        </w:tc>
      </w:tr>
    </w:tbl>
    <w:p>
      <w:pPr>
        <w:pStyle w:val="Heading1"/>
        <w:spacing w:after="130" w:before="300"/>
      </w:pPr>
      <w:r>
        <w:rPr>
          <w:b/>
          <w:bCs/>
          <w:color w:val="33302B"/>
          <w:sz w:val="29"/>
          <w:szCs w:val="29"/>
        </w:rPr>
        <w:t xml:space="preserve">Assessment and grading</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000"/>
        <w:gridCol w:w="3080"/>
      </w:tblGrid>
      <w:tr>
        <w:trPr>
          <w:tblHeader/>
        </w:trPr>
        <w:tc>
          <w:tcPr>
            <w:tcW w:type="dxa" w:w="70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Assessment component</w:t>
            </w:r>
          </w:p>
        </w:tc>
        <w:tc>
          <w:tcPr>
            <w:tcW w:type="dxa" w:w="30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Weight</w:t>
            </w:r>
          </w:p>
        </w:tc>
      </w:tr>
      <w:tr>
        <w:tc>
          <w:tcPr>
            <w:tcW w:type="dxa" w:w="70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Weekly applied exercises (5)</w:t>
            </w:r>
          </w:p>
        </w:tc>
        <w:tc>
          <w:tcPr>
            <w:tcW w:type="dxa" w:w="3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40%</w:t>
            </w:r>
          </w:p>
        </w:tc>
      </w:tr>
      <w:tr>
        <w:tc>
          <w:tcPr>
            <w:tcW w:type="dxa" w:w="70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Capstone — custody assessment of a real or supplied agentic deployment</w:t>
            </w:r>
          </w:p>
        </w:tc>
        <w:tc>
          <w:tcPr>
            <w:tcW w:type="dxa" w:w="3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60%</w:t>
            </w:r>
          </w:p>
        </w:tc>
      </w:tr>
      <w:tr>
        <w:tc>
          <w:tcPr>
            <w:tcW w:type="dxa" w:w="70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Total</w:t>
            </w:r>
          </w:p>
        </w:tc>
        <w:tc>
          <w:tcPr>
            <w:tcW w:type="dxa" w:w="3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100%</w:t>
            </w:r>
          </w:p>
        </w:tc>
      </w:tr>
    </w:tbl>
    <w:p>
      <w:pPr>
        <w:pStyle w:val="Heading1"/>
        <w:spacing w:after="130" w:before="300"/>
      </w:pPr>
      <w:r>
        <w:rPr>
          <w:b/>
          <w:bCs/>
          <w:color w:val="33302B"/>
          <w:sz w:val="29"/>
          <w:szCs w:val="29"/>
        </w:rPr>
        <w:t xml:space="preserve">Capstone — the custody assessment</w:t>
      </w:r>
    </w:p>
    <w:p>
      <w:pPr>
        <w:spacing w:after="120" w:before="0" w:line="276"/>
      </w:pPr>
      <w:r>
        <w:rPr>
          <w:b w:val="false"/>
          <w:bCs w:val="false"/>
          <w:i w:val="false"/>
          <w:iCs w:val="false"/>
          <w:color w:val="1B1A18"/>
          <w:sz w:val="20"/>
          <w:szCs w:val="20"/>
        </w:rPr>
        <w:t xml:space="preserve">Each participant runs the protocol end-to-end against a deployment of their choice: their own institution’s, a vendor platform under evaluation, or the supplied reference case. Starting from the single-clause specification — show the crossing, and show what survives it — the participant records evidence, or its absence, for each test.</w:t>
      </w:r>
    </w:p>
    <w:p>
      <w:pPr>
        <w:spacing w:after="120" w:before="0" w:line="276"/>
      </w:pPr>
      <w:r>
        <w:rPr>
          <w:b w:val="false"/>
          <w:bCs w:val="false"/>
          <w:i w:val="false"/>
          <w:iCs w:val="false"/>
          <w:color w:val="1B1A18"/>
          <w:sz w:val="20"/>
          <w:szCs w:val="20"/>
        </w:rPr>
        <w:t xml:space="preserve">One constraint distinguishes this capstone from the general certificate, and it is the point of the whole course: the assessment must be written in the institution’s own control vocabulary. Not crossings and custody, but control owners, enforcement points, evidence of operating effectiveness, and residual risk. A report that requires the reader to have read the book has failed its purpose, because the reader will be a risk committee, a model risk function, or an audit partner who has not read it and will not.</w:t>
      </w:r>
    </w:p>
    <w:p>
      <w:pPr>
        <w:spacing w:after="120" w:before="0" w:line="276"/>
      </w:pPr>
      <w:r>
        <w:rPr>
          <w:b w:val="false"/>
          <w:bCs w:val="false"/>
          <w:i w:val="false"/>
          <w:iCs w:val="false"/>
          <w:color w:val="1B1A18"/>
          <w:sz w:val="20"/>
          <w:szCs w:val="20"/>
        </w:rPr>
        <w:t xml:space="preserve">Deliverables: a 6–8 page custody assessment with a per-test verdict and an overall position, plus a prioritised remediation plan mapping each gap to the property it endangers and the crossing where it must be fixed. ‘With distinction’ is awarded where the tests genuinely bite — including against systems the participant is inclined to favour, and against the institution’s own preferred supplier. Assessed on evidence discipline, correct property-to-crossing mapping, translation into the institution’s control language, and actionability.</w:t>
      </w:r>
    </w:p>
    <w:p>
      <w:pPr>
        <w:pStyle w:val="Heading1"/>
        <w:spacing w:after="130" w:before="300"/>
      </w:pPr>
      <w:r>
        <w:rPr>
          <w:b/>
          <w:bCs/>
          <w:color w:val="33302B"/>
          <w:sz w:val="29"/>
          <w:szCs w:val="29"/>
        </w:rPr>
        <w:t xml:space="preserve">Course policies</w:t>
      </w:r>
    </w:p>
    <w:p>
      <w:pPr>
        <w:pStyle w:val="ListParagraph"/>
        <w:numPr>
          <w:ilvl w:val="0"/>
          <w:numId w:val="3"/>
        </w:numPr>
        <w:spacing w:after="70" w:line="276"/>
      </w:pPr>
      <w:r>
        <w:rPr>
          <w:b/>
          <w:bCs/>
          <w:color w:val="1B1A18"/>
          <w:sz w:val="20"/>
          <w:szCs w:val="20"/>
        </w:rPr>
        <w:t xml:space="preserve">Confidentiality. </w:t>
      </w:r>
      <w:r>
        <w:rPr>
          <w:color w:val="1B1A18"/>
          <w:sz w:val="20"/>
          <w:szCs w:val="20"/>
        </w:rPr>
        <w:t xml:space="preserve">Participants bring real deployments. The cohort operates on the understanding that institution-specific detail stays in the room, and exercises may be anonymised. Instructors should establish this in module one and mean it, because the clinics are worthless if participants bring sanitised examples.</w:t>
      </w:r>
    </w:p>
    <w:p>
      <w:pPr>
        <w:pStyle w:val="ListParagraph"/>
        <w:numPr>
          <w:ilvl w:val="0"/>
          <w:numId w:val="3"/>
        </w:numPr>
        <w:spacing w:after="70" w:line="276"/>
      </w:pPr>
      <w:r>
        <w:rPr>
          <w:b/>
          <w:bCs/>
          <w:color w:val="1B1A18"/>
          <w:sz w:val="20"/>
          <w:szCs w:val="20"/>
        </w:rPr>
        <w:t xml:space="preserve">No verdict without a demonstration. </w:t>
      </w:r>
      <w:r>
        <w:rPr>
          <w:color w:val="1B1A18"/>
          <w:sz w:val="20"/>
          <w:szCs w:val="20"/>
        </w:rPr>
        <w:t xml:space="preserve">Exercises are marked on the evidence recorded, not on the conclusion reached. “Not demonstrated” is a complete and creditable answer; an inferred pass is not.</w:t>
      </w:r>
    </w:p>
    <w:p>
      <w:pPr>
        <w:pStyle w:val="ListParagraph"/>
        <w:numPr>
          <w:ilvl w:val="0"/>
          <w:numId w:val="3"/>
        </w:numPr>
        <w:spacing w:after="70" w:line="276"/>
      </w:pPr>
      <w:r>
        <w:rPr>
          <w:b/>
          <w:bCs/>
          <w:color w:val="1B1A18"/>
          <w:sz w:val="20"/>
          <w:szCs w:val="20"/>
        </w:rPr>
        <w:t xml:space="preserve">Vendor neutrality. </w:t>
      </w:r>
      <w:r>
        <w:rPr>
          <w:color w:val="1B1A18"/>
          <w:sz w:val="20"/>
          <w:szCs w:val="20"/>
        </w:rPr>
        <w:t xml:space="preserve">No supplier is named as compliant or deficient in any course material, and instructors should decline invitations to rank vendors. The protocol is the deliverable, and it belongs to the participant.</w:t>
      </w:r>
    </w:p>
    <w:p>
      <w:pPr>
        <w:pStyle w:val="ListParagraph"/>
        <w:numPr>
          <w:ilvl w:val="0"/>
          <w:numId w:val="3"/>
        </w:numPr>
        <w:spacing w:after="70" w:line="276"/>
      </w:pPr>
      <w:r>
        <w:rPr>
          <w:b/>
          <w:bCs/>
          <w:color w:val="1B1A18"/>
          <w:sz w:val="20"/>
          <w:szCs w:val="20"/>
        </w:rPr>
        <w:t xml:space="preserve">Not advice. </w:t>
      </w:r>
      <w:r>
        <w:rPr>
          <w:color w:val="1B1A18"/>
          <w:sz w:val="20"/>
          <w:szCs w:val="20"/>
        </w:rPr>
        <w:t xml:space="preserve">This course is educational. It does not state the law or supervisory expectation of any jurisdiction, and nothing in it substitutes for the institution’s own legal, compliance, or audit judgement.</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MZ-EDU-FS-001 v1.0  •  teaching material · financial services cohort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PCERT-FS · Custody in the Regulated Institution · syllabus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2026-08-18T07:30:48.669Z</dcterms:created>
  <dcterms:modified xsi:type="dcterms:W3CDTF">2026-08-18T07:30:48.683Z</dcterms:modified>
</cp:coreProperties>
</file>

<file path=docProps/custom.xml><?xml version="1.0" encoding="utf-8"?>
<Properties xmlns="http://schemas.openxmlformats.org/officeDocument/2006/custom-properties" xmlns:vt="http://schemas.openxmlformats.org/officeDocument/2006/docPropsVTypes"/>
</file>