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Case pack · financial services cohort</w:t>
      </w:r>
    </w:p>
    <w:p>
      <w:pPr>
        <w:spacing w:after="60"/>
        <w:jc w:val="center"/>
      </w:pPr>
      <w:r>
        <w:rPr>
          <w:b/>
          <w:bCs/>
          <w:color w:val="1B1A18"/>
          <w:sz w:val="38"/>
          <w:szCs w:val="38"/>
        </w:rPr>
        <w:t xml:space="preserve">Six Consequence Records</w:t>
      </w:r>
    </w:p>
    <w:p>
      <w:pPr>
        <w:spacing w:after="150"/>
        <w:jc w:val="center"/>
      </w:pPr>
      <w:r>
        <w:rPr>
          <w:i/>
          <w:iCs/>
          <w:color w:val="6E6A62"/>
          <w:sz w:val="23"/>
          <w:szCs w:val="23"/>
        </w:rPr>
        <w:t xml:space="preserve">Documented failures at boundaries, with teaching notes and property mapping</w:t>
      </w:r>
    </w:p>
    <w:p>
      <w:pPr>
        <w:spacing w:after="40"/>
        <w:jc w:val="center"/>
      </w:pPr>
      <w:r>
        <w:rPr>
          <w:color w:val="1B1A18"/>
          <w:sz w:val="20"/>
          <w:szCs w:val="20"/>
        </w:rPr>
        <w:t xml:space="preserve">Companion to PCERT-FS · Georg Zangl</w:t>
      </w:r>
    </w:p>
    <w:p>
      <w:pPr>
        <w:spacing w:after="220"/>
        <w:jc w:val="center"/>
      </w:pPr>
      <w:r>
        <w:rPr>
          <w:b/>
          <w:bCs/>
          <w:color w:val="33302B"/>
          <w:sz w:val="18"/>
          <w:szCs w:val="18"/>
        </w:rPr>
        <w:t>MZ-EDU-FS-002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Sourcing discipline — read before teaching. </w:t>
            </w:r>
            <w:r>
              <w:rPr>
                <w:color w:val="1B1A18"/>
                <w:sz w:val="20"/>
                <w:szCs w:val="20"/>
              </w:rPr>
              <w:t xml:space="preserve">Every case here traces to a court judgment, a regulatory proceeding, an official audit, or a company admission. None is an anecdote and none is a vendor narrative. Two consequences follow for the instructor. Verify every figure against the primary source before the session: penalty amounts, loss figures, and dates in this pack are stated as reported and any of them may have moved on appeal, in settlement, or through subsequent proceedings. And teach the judgment beneath the figure rather than the figure — the numbers age, the finding does not.</w:t>
            </w:r>
          </w:p>
          <w:p>
            <w:pPr>
              <w:spacing w:after="0" w:line="264"/>
            </w:pPr>
            <w:r>
              <w:rPr>
                <w:b/>
                <w:bCs/>
                <w:color w:val="1B1A18"/>
                <w:sz w:val="20"/>
                <w:szCs w:val="20"/>
              </w:rPr>
              <w:t xml:space="preserve">Why these six. </w:t>
            </w:r>
            <w:r>
              <w:rPr>
                <w:color w:val="1B1A18"/>
                <w:sz w:val="20"/>
                <w:szCs w:val="20"/>
              </w:rPr>
              <w:t xml:space="preserve">Only one involves artificial intelligence at all. That is deliberate. The failure mode this course teaches predates agentic systems by decades and is documented in the sector’s own enforcement record, which is a far stronger position to argue from than any recent AI incident. A participant who accepts that the mechanism is old will accept that automation multiplies it.</w:t>
            </w:r>
          </w:p>
        </w:tc>
      </w:tr>
    </w:tbl>
    <w:p>
      <w:pPr>
        <w:pStyle w:val="Heading1"/>
        <w:spacing w:after="130" w:before="300"/>
      </w:pPr>
      <w:r>
        <w:rPr>
          <w:b/>
          <w:bCs/>
          <w:color w:val="33302B"/>
          <w:sz w:val="29"/>
          <w:szCs w:val="29"/>
        </w:rPr>
        <w:t xml:space="preserve">Case 1 · Knight Capital — a change that crossed into production</w:t>
      </w:r>
    </w:p>
    <w:p>
      <w:pPr>
        <w:spacing w:after="110" w:before="0" w:line="276"/>
      </w:pPr>
      <w:r>
        <w:rPr>
          <w:b w:val="false"/>
          <w:bCs w:val="false"/>
          <w:i/>
          <w:iCs/>
          <w:color w:val="6E6A62"/>
          <w:sz w:val="20"/>
          <w:szCs w:val="20"/>
        </w:rPr>
        <w:t xml:space="preserve">Primary source: US Securities and Exchange Commission administrative proceeding (2013); the firm’s own disclosures.</w:t>
      </w:r>
    </w:p>
    <w:p>
      <w:pPr>
        <w:spacing w:after="70" w:before="160"/>
      </w:pPr>
      <w:r>
        <w:rPr>
          <w:b/>
          <w:bCs/>
          <w:color w:val="57534A"/>
          <w:sz w:val="20"/>
          <w:szCs w:val="20"/>
        </w:rPr>
        <w:t xml:space="preserve">What is documented</w:t>
      </w:r>
    </w:p>
    <w:p>
      <w:pPr>
        <w:spacing w:after="120" w:before="0" w:line="276"/>
      </w:pPr>
      <w:r>
        <w:rPr>
          <w:b w:val="false"/>
          <w:bCs w:val="false"/>
          <w:i w:val="false"/>
          <w:iCs w:val="false"/>
          <w:color w:val="1B1A18"/>
          <w:sz w:val="20"/>
          <w:szCs w:val="20"/>
        </w:rPr>
        <w:t xml:space="preserve">In August 2012 a deployment left obsolete code active on one of eight servers. Order routing then behaved exactly as written. The firm lost approximately 460 million dollars in roughly forty-five minutes and did not survive as an independent company. The SEC proceeding that followed addressed the absence of adequate controls and supervisory procedures around market access rather than any analytical defect.</w:t>
      </w:r>
    </w:p>
    <w:p>
      <w:pPr>
        <w:spacing w:after="70" w:before="160"/>
      </w:pPr>
      <w:r>
        <w:rPr>
          <w:b/>
          <w:bCs/>
          <w:color w:val="57534A"/>
          <w:sz w:val="20"/>
          <w:szCs w:val="20"/>
        </w:rPr>
        <w:t xml:space="preserve">Properties at issue</w:t>
      </w:r>
    </w:p>
    <w:p>
      <w:pPr>
        <w:spacing w:after="120" w:before="0" w:line="276"/>
      </w:pPr>
      <w:r>
        <w:rPr>
          <w:b w:val="false"/>
          <w:bCs w:val="false"/>
          <w:i w:val="false"/>
          <w:iCs w:val="false"/>
          <w:color w:val="1B1A18"/>
          <w:sz w:val="20"/>
          <w:szCs w:val="20"/>
        </w:rPr>
        <w:t xml:space="preserve">Execution coherence, primarily. Also accountability: the firm could not establish quickly enough what was happening or under whose authority the routing continued.</w:t>
      </w:r>
    </w:p>
    <w:p>
      <w:pPr>
        <w:spacing w:after="70" w:before="160"/>
      </w:pPr>
      <w:r>
        <w:rPr>
          <w:b/>
          <w:bCs/>
          <w:color w:val="57534A"/>
          <w:sz w:val="20"/>
          <w:szCs w:val="20"/>
        </w:rPr>
        <w:t xml:space="preserve">Teaching notes</w:t>
      </w:r>
    </w:p>
    <w:p>
      <w:pPr>
        <w:spacing w:after="120" w:before="0" w:line="276"/>
      </w:pPr>
      <w:r>
        <w:rPr>
          <w:b w:val="false"/>
          <w:bCs w:val="false"/>
          <w:i w:val="false"/>
          <w:iCs w:val="false"/>
          <w:color w:val="1B1A18"/>
          <w:sz w:val="20"/>
          <w:szCs w:val="20"/>
        </w:rPr>
        <w:t xml:space="preserve">This is management of change, and every participant from an operational-risk background will recognise it. Ask the room what procedure would have caught it, then ask whether that procedure exists for the institution’s own agentic deployments, where behaviour changes without a release. The uncomfortable answer is usually that release-gated change control was the only control, and agentic systems bypass it.</w:t>
      </w:r>
    </w:p>
    <w:p>
      <w:pPr>
        <w:spacing w:after="70" w:before="160"/>
      </w:pPr>
      <w:r>
        <w:rPr>
          <w:b/>
          <w:bCs/>
          <w:color w:val="57534A"/>
          <w:sz w:val="20"/>
          <w:szCs w:val="20"/>
        </w:rPr>
        <w:t xml:space="preserve">Discussion questions</w:t>
      </w:r>
    </w:p>
    <w:p>
      <w:pPr>
        <w:pStyle w:val="ListParagraph"/>
        <w:numPr>
          <w:ilvl w:val="0"/>
          <w:numId w:val="2"/>
        </w:numPr>
        <w:spacing w:after="70" w:line="276"/>
      </w:pPr>
      <w:r>
        <w:rPr>
          <w:color w:val="1B1A18"/>
          <w:sz w:val="20"/>
          <w:szCs w:val="20"/>
        </w:rPr>
        <w:t xml:space="preserve">Which of the eight servers was non-compliant, and why does that question mislead?</w:t>
      </w:r>
    </w:p>
    <w:p>
      <w:pPr>
        <w:pStyle w:val="ListParagraph"/>
        <w:numPr>
          <w:ilvl w:val="0"/>
          <w:numId w:val="2"/>
        </w:numPr>
        <w:spacing w:after="70" w:line="276"/>
      </w:pPr>
      <w:r>
        <w:rPr>
          <w:color w:val="1B1A18"/>
          <w:sz w:val="20"/>
          <w:szCs w:val="20"/>
        </w:rPr>
        <w:t xml:space="preserve">Where was the rule "no order routing without current logic" physically enforced?</w:t>
      </w:r>
    </w:p>
    <w:p>
      <w:pPr>
        <w:pStyle w:val="ListParagraph"/>
        <w:numPr>
          <w:ilvl w:val="0"/>
          <w:numId w:val="2"/>
        </w:numPr>
        <w:spacing w:after="70" w:line="276"/>
      </w:pPr>
      <w:r>
        <w:rPr>
          <w:color w:val="1B1A18"/>
          <w:sz w:val="20"/>
          <w:szCs w:val="20"/>
        </w:rPr>
        <w:t xml:space="preserve">If a supplier changes a model silently, what is the equivalent of the eighth server?</w:t>
      </w:r>
    </w:p>
    <w:p>
      <w:pPr>
        <w:pStyle w:val="Heading1"/>
        <w:spacing w:after="130" w:before="300"/>
      </w:pPr>
      <w:r>
        <w:rPr>
          <w:b/>
          <w:bCs/>
          <w:color w:val="33302B"/>
          <w:sz w:val="29"/>
          <w:szCs w:val="29"/>
        </w:rPr>
        <w:t xml:space="preserve">Case 2 · Commonwealth Bank — a coding change and a reporting obligation</w:t>
      </w:r>
    </w:p>
    <w:p>
      <w:pPr>
        <w:spacing w:after="110" w:before="0" w:line="276"/>
      </w:pPr>
      <w:r>
        <w:rPr>
          <w:b w:val="false"/>
          <w:bCs w:val="false"/>
          <w:i/>
          <w:iCs/>
          <w:color w:val="6E6A62"/>
          <w:sz w:val="20"/>
          <w:szCs w:val="20"/>
        </w:rPr>
        <w:t xml:space="preserve">Primary source: Australian Transaction Reports and Analysis Centre proceedings; Federal Court of Australia, [2018] FCA 930.</w:t>
      </w:r>
    </w:p>
    <w:p>
      <w:pPr>
        <w:spacing w:after="70" w:before="160"/>
      </w:pPr>
      <w:r>
        <w:rPr>
          <w:b/>
          <w:bCs/>
          <w:color w:val="57534A"/>
          <w:sz w:val="20"/>
          <w:szCs w:val="20"/>
        </w:rPr>
        <w:t xml:space="preserve">What is documented</w:t>
      </w:r>
    </w:p>
    <w:p>
      <w:pPr>
        <w:spacing w:after="120" w:before="0" w:line="276"/>
      </w:pPr>
      <w:r>
        <w:rPr>
          <w:b w:val="false"/>
          <w:bCs w:val="false"/>
          <w:i w:val="false"/>
          <w:iCs w:val="false"/>
          <w:color w:val="1B1A18"/>
          <w:sz w:val="20"/>
          <w:szCs w:val="20"/>
        </w:rPr>
        <w:t xml:space="preserve">A software change in an automated deposit machine channel meant threshold transaction reports were not generated for a large volume of transactions over several years. Proceedings in the Federal Court of Australia concluded in 2018 with a substantial agreed civil penalty, reported at the time as the largest of its kind in the jurisdiction.</w:t>
      </w:r>
    </w:p>
    <w:p>
      <w:pPr>
        <w:spacing w:after="70" w:before="160"/>
      </w:pPr>
      <w:r>
        <w:rPr>
          <w:b/>
          <w:bCs/>
          <w:color w:val="57534A"/>
          <w:sz w:val="20"/>
          <w:szCs w:val="20"/>
        </w:rPr>
        <w:t xml:space="preserve">Properties at issue</w:t>
      </w:r>
    </w:p>
    <w:p>
      <w:pPr>
        <w:spacing w:after="120" w:before="0" w:line="276"/>
      </w:pPr>
      <w:r>
        <w:rPr>
          <w:b w:val="false"/>
          <w:bCs w:val="false"/>
          <w:i w:val="false"/>
          <w:iCs w:val="false"/>
          <w:color w:val="1B1A18"/>
          <w:sz w:val="20"/>
          <w:szCs w:val="20"/>
        </w:rPr>
        <w:t xml:space="preserve">Coordination and coherence. The obligation existed and was understood; the system’s behaviour after a change no longer satisfied it, and nothing at the boundary noticed for years.</w:t>
      </w:r>
    </w:p>
    <w:p>
      <w:pPr>
        <w:spacing w:after="70" w:before="160"/>
      </w:pPr>
      <w:r>
        <w:rPr>
          <w:b/>
          <w:bCs/>
          <w:color w:val="57534A"/>
          <w:sz w:val="20"/>
          <w:szCs w:val="20"/>
        </w:rPr>
        <w:t xml:space="preserve">Teaching notes</w:t>
      </w:r>
    </w:p>
    <w:p>
      <w:pPr>
        <w:spacing w:after="120" w:before="0" w:line="276"/>
      </w:pPr>
      <w:r>
        <w:rPr>
          <w:b w:val="false"/>
          <w:bCs w:val="false"/>
          <w:i w:val="false"/>
          <w:iCs w:val="false"/>
          <w:color w:val="1B1A18"/>
          <w:sz w:val="20"/>
          <w:szCs w:val="20"/>
        </w:rPr>
        <w:t xml:space="preserve">The strongest case in the pack for a compliance audience, because the obligation was never in doubt. Draw out the detection question: what would have had to exist for the gap to be visible in the first month rather than after several years? The answer is a control at the boundary that asserts the invariant, not a control inside either system.</w:t>
      </w:r>
    </w:p>
    <w:p>
      <w:pPr>
        <w:spacing w:after="70" w:before="160"/>
      </w:pPr>
      <w:r>
        <w:rPr>
          <w:b/>
          <w:bCs/>
          <w:color w:val="57534A"/>
          <w:sz w:val="20"/>
          <w:szCs w:val="20"/>
        </w:rPr>
        <w:t xml:space="preserve">Discussion questions</w:t>
      </w:r>
    </w:p>
    <w:p>
      <w:pPr>
        <w:pStyle w:val="ListParagraph"/>
        <w:numPr>
          <w:ilvl w:val="0"/>
          <w:numId w:val="2"/>
        </w:numPr>
        <w:spacing w:after="70" w:line="276"/>
      </w:pPr>
      <w:r>
        <w:rPr>
          <w:color w:val="1B1A18"/>
          <w:sz w:val="20"/>
          <w:szCs w:val="20"/>
        </w:rPr>
        <w:t xml:space="preserve">Who owned the obligation, and who owned the change?</w:t>
      </w:r>
    </w:p>
    <w:p>
      <w:pPr>
        <w:pStyle w:val="ListParagraph"/>
        <w:numPr>
          <w:ilvl w:val="0"/>
          <w:numId w:val="2"/>
        </w:numPr>
        <w:spacing w:after="70" w:line="276"/>
      </w:pPr>
      <w:r>
        <w:rPr>
          <w:color w:val="1B1A18"/>
          <w:sz w:val="20"/>
          <w:szCs w:val="20"/>
        </w:rPr>
        <w:t xml:space="preserve">What invariant, held at the boundary, would have failed loudly?</w:t>
      </w:r>
    </w:p>
    <w:p>
      <w:pPr>
        <w:pStyle w:val="ListParagraph"/>
        <w:numPr>
          <w:ilvl w:val="0"/>
          <w:numId w:val="2"/>
        </w:numPr>
        <w:spacing w:after="70" w:line="276"/>
      </w:pPr>
      <w:r>
        <w:rPr>
          <w:color w:val="1B1A18"/>
          <w:sz w:val="20"/>
          <w:szCs w:val="20"/>
        </w:rPr>
        <w:t xml:space="preserve">How long could the equivalent gap persist in your institution today?</w:t>
      </w:r>
    </w:p>
    <w:p>
      <w:pPr>
        <w:pStyle w:val="Heading1"/>
        <w:spacing w:after="130" w:before="300"/>
      </w:pPr>
      <w:r>
        <w:rPr>
          <w:b/>
          <w:bCs/>
          <w:color w:val="33302B"/>
          <w:sz w:val="29"/>
          <w:szCs w:val="29"/>
        </w:rPr>
        <w:t xml:space="preserve">Case 3 · TSB — a migration that removed the people who knew</w:t>
      </w:r>
    </w:p>
    <w:p>
      <w:pPr>
        <w:spacing w:after="110" w:before="0" w:line="276"/>
      </w:pPr>
      <w:r>
        <w:rPr>
          <w:b w:val="false"/>
          <w:bCs w:val="false"/>
          <w:i/>
          <w:iCs/>
          <w:color w:val="6E6A62"/>
          <w:sz w:val="20"/>
          <w:szCs w:val="20"/>
        </w:rPr>
        <w:t xml:space="preserve">Primary source: UK Financial Conduct Authority and Prudential Regulation Authority final notices (2022); the independent review commissioned by the bank; parliamentary committee evidence.</w:t>
      </w:r>
    </w:p>
    <w:p>
      <w:pPr>
        <w:spacing w:after="70" w:before="160"/>
      </w:pPr>
      <w:r>
        <w:rPr>
          <w:b/>
          <w:bCs/>
          <w:color w:val="57534A"/>
          <w:sz w:val="20"/>
          <w:szCs w:val="20"/>
        </w:rPr>
        <w:t xml:space="preserve">What is documented</w:t>
      </w:r>
    </w:p>
    <w:p>
      <w:pPr>
        <w:spacing w:after="120" w:before="0" w:line="276"/>
      </w:pPr>
      <w:r>
        <w:rPr>
          <w:b w:val="false"/>
          <w:bCs w:val="false"/>
          <w:i w:val="false"/>
          <w:iCs w:val="false"/>
          <w:color w:val="1B1A18"/>
          <w:sz w:val="20"/>
          <w:szCs w:val="20"/>
        </w:rPr>
        <w:t xml:space="preserve">A 2018 migration to a new core banking platform caused prolonged, widespread customer access failures. Regulators imposed substantial fines in 2022 addressing operational resilience and risk management failings around the programme, and the bank commissioned an independent review of what had happened.</w:t>
      </w:r>
    </w:p>
    <w:p>
      <w:pPr>
        <w:spacing w:after="70" w:before="160"/>
      </w:pPr>
      <w:r>
        <w:rPr>
          <w:b/>
          <w:bCs/>
          <w:color w:val="57534A"/>
          <w:sz w:val="20"/>
          <w:szCs w:val="20"/>
        </w:rPr>
        <w:t xml:space="preserve">Properties at issue</w:t>
      </w:r>
    </w:p>
    <w:p>
      <w:pPr>
        <w:spacing w:after="120" w:before="0" w:line="276"/>
      </w:pPr>
      <w:r>
        <w:rPr>
          <w:b w:val="false"/>
          <w:bCs w:val="false"/>
          <w:i w:val="false"/>
          <w:iCs w:val="false"/>
          <w:color w:val="1B1A18"/>
          <w:sz w:val="20"/>
          <w:szCs w:val="20"/>
        </w:rPr>
        <w:t xml:space="preserve">Coordination and institutional memory. The migration moved function; the accumulated operational knowledge of how the estate actually behaved did not move with it.</w:t>
      </w:r>
    </w:p>
    <w:p>
      <w:pPr>
        <w:spacing w:after="70" w:before="160"/>
      </w:pPr>
      <w:r>
        <w:rPr>
          <w:b/>
          <w:bCs/>
          <w:color w:val="57534A"/>
          <w:sz w:val="20"/>
          <w:szCs w:val="20"/>
        </w:rPr>
        <w:t xml:space="preserve">Teaching notes</w:t>
      </w:r>
    </w:p>
    <w:p>
      <w:pPr>
        <w:spacing w:after="120" w:before="0" w:line="276"/>
      </w:pPr>
      <w:r>
        <w:rPr>
          <w:b w:val="false"/>
          <w:bCs w:val="false"/>
          <w:i w:val="false"/>
          <w:iCs w:val="false"/>
          <w:color w:val="1B1A18"/>
          <w:sz w:val="20"/>
          <w:szCs w:val="20"/>
        </w:rPr>
        <w:t xml:space="preserve">Use this as the bridge case. It is not an AI failure, it is a transformation failure of exactly the kind participants have lived through — and the mechanism is the human subsidy being withdrawn on a planned date. Then ask what is different about an agentic programme. The answer is that nobody sets a date.</w:t>
      </w:r>
    </w:p>
    <w:p>
      <w:pPr>
        <w:spacing w:after="70" w:before="160"/>
      </w:pPr>
      <w:r>
        <w:rPr>
          <w:b/>
          <w:bCs/>
          <w:color w:val="57534A"/>
          <w:sz w:val="20"/>
          <w:szCs w:val="20"/>
        </w:rPr>
        <w:t xml:space="preserve">Discussion questions</w:t>
      </w:r>
    </w:p>
    <w:p>
      <w:pPr>
        <w:pStyle w:val="ListParagraph"/>
        <w:numPr>
          <w:ilvl w:val="0"/>
          <w:numId w:val="2"/>
        </w:numPr>
        <w:spacing w:after="70" w:line="276"/>
      </w:pPr>
      <w:r>
        <w:rPr>
          <w:color w:val="1B1A18"/>
          <w:sz w:val="20"/>
          <w:szCs w:val="20"/>
        </w:rPr>
        <w:t xml:space="preserve">What did the outgoing estate know that no document recorded?</w:t>
      </w:r>
    </w:p>
    <w:p>
      <w:pPr>
        <w:pStyle w:val="ListParagraph"/>
        <w:numPr>
          <w:ilvl w:val="0"/>
          <w:numId w:val="2"/>
        </w:numPr>
        <w:spacing w:after="70" w:line="276"/>
      </w:pPr>
      <w:r>
        <w:rPr>
          <w:color w:val="1B1A18"/>
          <w:sz w:val="20"/>
          <w:szCs w:val="20"/>
        </w:rPr>
        <w:t xml:space="preserve">Which properties were assumed to transfer with the function?</w:t>
      </w:r>
    </w:p>
    <w:p>
      <w:pPr>
        <w:pStyle w:val="ListParagraph"/>
        <w:numPr>
          <w:ilvl w:val="0"/>
          <w:numId w:val="2"/>
        </w:numPr>
        <w:spacing w:after="70" w:line="276"/>
      </w:pPr>
      <w:r>
        <w:rPr>
          <w:color w:val="1B1A18"/>
          <w:sz w:val="20"/>
          <w:szCs w:val="20"/>
        </w:rPr>
        <w:t xml:space="preserve">What in your own institution is currently held only in the heads of people whose roles are being automated?</w:t>
      </w:r>
    </w:p>
    <w:p>
      <w:pPr>
        <w:pStyle w:val="Heading1"/>
        <w:spacing w:after="130" w:before="300"/>
      </w:pPr>
      <w:r>
        <w:rPr>
          <w:b/>
          <w:bCs/>
          <w:color w:val="33302B"/>
          <w:sz w:val="29"/>
          <w:szCs w:val="29"/>
        </w:rPr>
        <w:t xml:space="preserve">Case 4 · Phoenix — tasks moved, carriers removed</w:t>
      </w:r>
    </w:p>
    <w:p>
      <w:pPr>
        <w:spacing w:after="110" w:before="0" w:line="276"/>
      </w:pPr>
      <w:r>
        <w:rPr>
          <w:b w:val="false"/>
          <w:bCs w:val="false"/>
          <w:i/>
          <w:iCs/>
          <w:color w:val="6E6A62"/>
          <w:sz w:val="20"/>
          <w:szCs w:val="20"/>
        </w:rPr>
        <w:t xml:space="preserve">Primary source: Office of the Auditor General of Canada reports; Senate and parliamentary committee reporting; government departmental disclosures.</w:t>
      </w:r>
    </w:p>
    <w:p>
      <w:pPr>
        <w:spacing w:after="70" w:before="160"/>
      </w:pPr>
      <w:r>
        <w:rPr>
          <w:b/>
          <w:bCs/>
          <w:color w:val="57534A"/>
          <w:sz w:val="20"/>
          <w:szCs w:val="20"/>
        </w:rPr>
        <w:t xml:space="preserve">What is documented</w:t>
      </w:r>
    </w:p>
    <w:p>
      <w:pPr>
        <w:spacing w:after="120" w:before="0" w:line="276"/>
      </w:pPr>
      <w:r>
        <w:rPr>
          <w:b w:val="false"/>
          <w:bCs w:val="false"/>
          <w:i w:val="false"/>
          <w:iCs w:val="false"/>
          <w:color w:val="1B1A18"/>
          <w:sz w:val="20"/>
          <w:szCs w:val="20"/>
        </w:rPr>
        <w:t xml:space="preserve">A national payroll consolidation centralised pay administration and introduced a new system. The pay advisers who held the interpretive knowledge of collective agreements, acting arrangements, and entitlement edge cases were removed from the process. Hundreds of thousands of pay errors followed, remediation ran for years, and total cost substantially exceeded the savings the programme was built to deliver.</w:t>
      </w:r>
    </w:p>
    <w:p>
      <w:pPr>
        <w:spacing w:after="70" w:before="160"/>
      </w:pPr>
      <w:r>
        <w:rPr>
          <w:b/>
          <w:bCs/>
          <w:color w:val="57534A"/>
          <w:sz w:val="20"/>
          <w:szCs w:val="20"/>
        </w:rPr>
        <w:t xml:space="preserve">Properties at issue</w:t>
      </w:r>
    </w:p>
    <w:p>
      <w:pPr>
        <w:spacing w:after="120" w:before="0" w:line="276"/>
      </w:pPr>
      <w:r>
        <w:rPr>
          <w:b w:val="false"/>
          <w:bCs w:val="false"/>
          <w:i w:val="false"/>
          <w:iCs w:val="false"/>
          <w:color w:val="1B1A18"/>
          <w:sz w:val="20"/>
          <w:szCs w:val="20"/>
        </w:rPr>
        <w:t xml:space="preserve">Context and institutional memory. The definitive case for both, and the clearest available demonstration that the subsidy is real and quantifiable.</w:t>
      </w:r>
    </w:p>
    <w:p>
      <w:pPr>
        <w:spacing w:after="70" w:before="160"/>
      </w:pPr>
      <w:r>
        <w:rPr>
          <w:b/>
          <w:bCs/>
          <w:color w:val="57534A"/>
          <w:sz w:val="20"/>
          <w:szCs w:val="20"/>
        </w:rPr>
        <w:t xml:space="preserve">Teaching notes</w:t>
      </w:r>
    </w:p>
    <w:p>
      <w:pPr>
        <w:spacing w:after="120" w:before="0" w:line="276"/>
      </w:pPr>
      <w:r>
        <w:rPr>
          <w:b w:val="false"/>
          <w:bCs w:val="false"/>
          <w:i w:val="false"/>
          <w:iCs w:val="false"/>
          <w:color w:val="1B1A18"/>
          <w:sz w:val="20"/>
          <w:szCs w:val="20"/>
        </w:rPr>
        <w:t xml:space="preserve">The most transferable case in the pack for a finance-function audience, because payroll is a ledger process with rules, exceptions, and judgement — exactly like accruals, intercompany elimination, or revenue recognition. Ask each participant to name one judgement in their own process that is not written down anywhere. If nobody can name it, the process has not been understood well enough to automate, and the absence of an answer is the finding.</w:t>
      </w:r>
    </w:p>
    <w:p>
      <w:pPr>
        <w:spacing w:after="70" w:before="160"/>
      </w:pPr>
      <w:r>
        <w:rPr>
          <w:b/>
          <w:bCs/>
          <w:color w:val="57534A"/>
          <w:sz w:val="20"/>
          <w:szCs w:val="20"/>
        </w:rPr>
        <w:t xml:space="preserve">Discussion questions</w:t>
      </w:r>
    </w:p>
    <w:p>
      <w:pPr>
        <w:pStyle w:val="ListParagraph"/>
        <w:numPr>
          <w:ilvl w:val="0"/>
          <w:numId w:val="2"/>
        </w:numPr>
        <w:spacing w:after="70" w:line="276"/>
      </w:pPr>
      <w:r>
        <w:rPr>
          <w:color w:val="1B1A18"/>
          <w:sz w:val="20"/>
          <w:szCs w:val="20"/>
        </w:rPr>
        <w:t xml:space="preserve">What did an experienced pay adviser know that no rule captured?</w:t>
      </w:r>
    </w:p>
    <w:p>
      <w:pPr>
        <w:pStyle w:val="ListParagraph"/>
        <w:numPr>
          <w:ilvl w:val="0"/>
          <w:numId w:val="2"/>
        </w:numPr>
        <w:spacing w:after="70" w:line="276"/>
      </w:pPr>
      <w:r>
        <w:rPr>
          <w:color w:val="1B1A18"/>
          <w:sz w:val="20"/>
          <w:szCs w:val="20"/>
        </w:rPr>
        <w:t xml:space="preserve">At which crossing was that knowledge supposed to live afterwards?</w:t>
      </w:r>
    </w:p>
    <w:p>
      <w:pPr>
        <w:pStyle w:val="ListParagraph"/>
        <w:numPr>
          <w:ilvl w:val="0"/>
          <w:numId w:val="2"/>
        </w:numPr>
        <w:spacing w:after="70" w:line="276"/>
      </w:pPr>
      <w:r>
        <w:rPr>
          <w:color w:val="1B1A18"/>
          <w:sz w:val="20"/>
          <w:szCs w:val="20"/>
        </w:rPr>
        <w:t xml:space="preserve">What was the reconstruction tax, and who paid it?</w:t>
      </w:r>
    </w:p>
    <w:p>
      <w:pPr>
        <w:pStyle w:val="Heading1"/>
        <w:spacing w:after="130" w:before="300"/>
      </w:pPr>
      <w:r>
        <w:rPr>
          <w:b/>
          <w:bCs/>
          <w:color w:val="33302B"/>
          <w:sz w:val="29"/>
          <w:szCs w:val="29"/>
        </w:rPr>
        <w:t xml:space="preserve">Case 5 · Horizon — a record that was treated as evidence</w:t>
      </w:r>
    </w:p>
    <w:p>
      <w:pPr>
        <w:spacing w:after="110" w:before="0" w:line="276"/>
      </w:pPr>
      <w:r>
        <w:rPr>
          <w:b w:val="false"/>
          <w:bCs w:val="false"/>
          <w:i/>
          <w:iCs/>
          <w:color w:val="6E6A62"/>
          <w:sz w:val="20"/>
          <w:szCs w:val="20"/>
        </w:rPr>
        <w:t xml:space="preserve">Primary source: Bates and others v Post Office Limited, High Court of England and Wales; the subsequent statutory public inquiry; Court of Appeal judgments quashing convictions.</w:t>
      </w:r>
    </w:p>
    <w:p>
      <w:pPr>
        <w:spacing w:after="70" w:before="160"/>
      </w:pPr>
      <w:r>
        <w:rPr>
          <w:b/>
          <w:bCs/>
          <w:color w:val="57534A"/>
          <w:sz w:val="20"/>
          <w:szCs w:val="20"/>
        </w:rPr>
        <w:t xml:space="preserve">What is documented</w:t>
      </w:r>
    </w:p>
    <w:p>
      <w:pPr>
        <w:spacing w:after="120" w:before="0" w:line="276"/>
      </w:pPr>
      <w:r>
        <w:rPr>
          <w:b w:val="false"/>
          <w:bCs w:val="false"/>
          <w:i w:val="false"/>
          <w:iCs w:val="false"/>
          <w:color w:val="1B1A18"/>
          <w:sz w:val="20"/>
          <w:szCs w:val="20"/>
        </w:rPr>
        <w:t xml:space="preserve">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w:t>
      </w:r>
    </w:p>
    <w:p>
      <w:pPr>
        <w:spacing w:after="70" w:before="160"/>
      </w:pPr>
      <w:r>
        <w:rPr>
          <w:b/>
          <w:bCs/>
          <w:color w:val="57534A"/>
          <w:sz w:val="20"/>
          <w:szCs w:val="20"/>
        </w:rPr>
        <w:t xml:space="preserve">Properties at issue</w:t>
      </w:r>
    </w:p>
    <w:p>
      <w:pPr>
        <w:spacing w:after="120" w:before="0" w:line="276"/>
      </w:pPr>
      <w:r>
        <w:rPr>
          <w:b w:val="false"/>
          <w:bCs w:val="false"/>
          <w:i w:val="false"/>
          <w:iCs w:val="false"/>
          <w:color w:val="1B1A18"/>
          <w:sz w:val="20"/>
          <w:szCs w:val="20"/>
        </w:rPr>
        <w:t xml:space="preserve">Accountability and institutional memory. The distinction between a record and an account of a record, taught by its most serious documented failure.</w:t>
      </w:r>
    </w:p>
    <w:p>
      <w:pPr>
        <w:spacing w:after="70" w:before="160"/>
      </w:pPr>
      <w:r>
        <w:rPr>
          <w:b/>
          <w:bCs/>
          <w:color w:val="57534A"/>
          <w:sz w:val="20"/>
          <w:szCs w:val="20"/>
        </w:rPr>
        <w:t xml:space="preserve">Teaching notes</w:t>
      </w:r>
    </w:p>
    <w:p>
      <w:pPr>
        <w:spacing w:after="120" w:before="0" w:line="276"/>
      </w:pPr>
      <w:r>
        <w:rPr>
          <w:b w:val="false"/>
          <w:bCs w:val="false"/>
          <w:i w:val="false"/>
          <w:iCs w:val="false"/>
          <w:color w:val="1B1A18"/>
          <w:sz w:val="20"/>
          <w:szCs w:val="20"/>
        </w:rPr>
        <w:t xml:space="preserve">Handle with care and without relish: people went to prison. The teaching point is precise and narrow — nobody asked whether the record could be verified by a party who did not operate the system. Run the last-month test conceptually against Horizon and every participant sees immediately that it would have failed. Then note the limit: this is authority for the danger of treating system output as inherently trustworthy, not for the proposition that automated records are unreliable. Over-reading it in a risk committee costs credibility.</w:t>
      </w:r>
    </w:p>
    <w:p>
      <w:pPr>
        <w:spacing w:after="70" w:before="160"/>
      </w:pPr>
      <w:r>
        <w:rPr>
          <w:b/>
          <w:bCs/>
          <w:color w:val="57534A"/>
          <w:sz w:val="20"/>
          <w:szCs w:val="20"/>
        </w:rPr>
        <w:t xml:space="preserve">Discussion questions</w:t>
      </w:r>
    </w:p>
    <w:p>
      <w:pPr>
        <w:pStyle w:val="ListParagraph"/>
        <w:numPr>
          <w:ilvl w:val="0"/>
          <w:numId w:val="2"/>
        </w:numPr>
        <w:spacing w:after="70" w:line="276"/>
      </w:pPr>
      <w:r>
        <w:rPr>
          <w:color w:val="1B1A18"/>
          <w:sz w:val="20"/>
          <w:szCs w:val="20"/>
        </w:rPr>
        <w:t xml:space="preserve">Who could have verified the record, and who was actually asked to?</w:t>
      </w:r>
    </w:p>
    <w:p>
      <w:pPr>
        <w:pStyle w:val="ListParagraph"/>
        <w:numPr>
          <w:ilvl w:val="0"/>
          <w:numId w:val="2"/>
        </w:numPr>
        <w:spacing w:after="70" w:line="276"/>
      </w:pPr>
      <w:r>
        <w:rPr>
          <w:color w:val="1B1A18"/>
          <w:sz w:val="20"/>
          <w:szCs w:val="20"/>
        </w:rPr>
        <w:t xml:space="preserve">What would independent verifiability have required in the original design?</w:t>
      </w:r>
    </w:p>
    <w:p>
      <w:pPr>
        <w:pStyle w:val="ListParagraph"/>
        <w:numPr>
          <w:ilvl w:val="0"/>
          <w:numId w:val="2"/>
        </w:numPr>
        <w:spacing w:after="70" w:line="276"/>
      </w:pPr>
      <w:r>
        <w:rPr>
          <w:color w:val="1B1A18"/>
          <w:sz w:val="20"/>
          <w:szCs w:val="20"/>
        </w:rPr>
        <w:t xml:space="preserve">Which of your institution’s records are currently verifiable only by the team that keeps them?</w:t>
      </w:r>
    </w:p>
    <w:p>
      <w:pPr>
        <w:pStyle w:val="Heading1"/>
        <w:spacing w:after="130" w:before="300"/>
      </w:pPr>
      <w:r>
        <w:rPr>
          <w:b/>
          <w:bCs/>
          <w:color w:val="33302B"/>
          <w:sz w:val="29"/>
          <w:szCs w:val="29"/>
        </w:rPr>
        <w:t xml:space="preserve">Case 6 · Risk data aggregation — the case with no incident</w:t>
      </w:r>
    </w:p>
    <w:p>
      <w:pPr>
        <w:spacing w:after="110" w:before="0" w:line="276"/>
      </w:pPr>
      <w:r>
        <w:rPr>
          <w:b w:val="false"/>
          <w:bCs w:val="false"/>
          <w:i/>
          <w:iCs/>
          <w:color w:val="6E6A62"/>
          <w:sz w:val="20"/>
          <w:szCs w:val="20"/>
        </w:rPr>
        <w:t xml:space="preserve">Primary source: Basel Committee on Banking Supervision, Principles for effective risk data aggregation and risk reporting (2013), and successive supervisory progress reviews.</w:t>
      </w:r>
    </w:p>
    <w:p>
      <w:pPr>
        <w:spacing w:after="70" w:before="160"/>
      </w:pPr>
      <w:r>
        <w:rPr>
          <w:b/>
          <w:bCs/>
          <w:color w:val="57534A"/>
          <w:sz w:val="20"/>
          <w:szCs w:val="20"/>
        </w:rPr>
        <w:t xml:space="preserve">What is documented</w:t>
      </w:r>
    </w:p>
    <w:p>
      <w:pPr>
        <w:spacing w:after="120" w:before="0" w:line="276"/>
      </w:pPr>
      <w:r>
        <w:rPr>
          <w:b w:val="false"/>
          <w:bCs w:val="false"/>
          <w:i w:val="false"/>
          <w:iCs w:val="false"/>
          <w:color w:val="1B1A18"/>
          <w:sz w:val="20"/>
          <w:szCs w:val="20"/>
        </w:rPr>
        <w:t xml:space="preserve">Principles issued in 2013 required accuracy and integrity, completeness, timeliness, adaptability, and data lineage. Supervisory progress reviews have repeatedly found adoption incomplete more than a decade later, across institutions with substantial budgets and genuine intent. There is no single incident, no penalty, and no named firm.</w:t>
      </w:r>
    </w:p>
    <w:p>
      <w:pPr>
        <w:spacing w:after="70" w:before="160"/>
      </w:pPr>
      <w:r>
        <w:rPr>
          <w:b/>
          <w:bCs/>
          <w:color w:val="57534A"/>
          <w:sz w:val="20"/>
          <w:szCs w:val="20"/>
        </w:rPr>
        <w:t xml:space="preserve">Properties at issue</w:t>
      </w:r>
    </w:p>
    <w:p>
      <w:pPr>
        <w:spacing w:after="120" w:before="0" w:line="276"/>
      </w:pPr>
      <w:r>
        <w:rPr>
          <w:b w:val="false"/>
          <w:bCs w:val="false"/>
          <w:i w:val="false"/>
          <w:iCs w:val="false"/>
          <w:color w:val="1B1A18"/>
          <w:sz w:val="20"/>
          <w:szCs w:val="20"/>
        </w:rPr>
        <w:t xml:space="preserve">Context and coordination, systemically.</w:t>
      </w:r>
    </w:p>
    <w:p>
      <w:pPr>
        <w:spacing w:after="70" w:before="160"/>
      </w:pPr>
      <w:r>
        <w:rPr>
          <w:b/>
          <w:bCs/>
          <w:color w:val="57534A"/>
          <w:sz w:val="20"/>
          <w:szCs w:val="20"/>
        </w:rPr>
        <w:t xml:space="preserve">Teaching notes</w:t>
      </w:r>
    </w:p>
    <w:p>
      <w:pPr>
        <w:spacing w:after="120" w:before="0" w:line="276"/>
      </w:pPr>
      <w:r>
        <w:rPr>
          <w:b w:val="false"/>
          <w:bCs w:val="false"/>
          <w:i w:val="false"/>
          <w:iCs w:val="false"/>
          <w:color w:val="1B1A18"/>
          <w:sz w:val="20"/>
          <w:szCs w:val="20"/>
        </w:rPr>
        <w:t xml:space="preserve">Close the pack with this one, because it is the argument rather than an illustration of it. Ask why a well-resourced industry failed for thirteen years to satisfy principles nobody disputed. Lead the room to the answer rather than asserting it: the properties were carried by people at every boundary, the effort was invisible because it was salaried, and the architecture was never asked to hold them. Then state the consequence — the institution is now removing those people while the gap is still open. This is the moment the course lands or does not.</w:t>
      </w:r>
    </w:p>
    <w:p>
      <w:pPr>
        <w:spacing w:after="70" w:before="160"/>
      </w:pPr>
      <w:r>
        <w:rPr>
          <w:b/>
          <w:bCs/>
          <w:color w:val="57534A"/>
          <w:sz w:val="20"/>
          <w:szCs w:val="20"/>
        </w:rPr>
        <w:t xml:space="preserve">Discussion questions</w:t>
      </w:r>
    </w:p>
    <w:p>
      <w:pPr>
        <w:pStyle w:val="ListParagraph"/>
        <w:numPr>
          <w:ilvl w:val="0"/>
          <w:numId w:val="2"/>
        </w:numPr>
        <w:spacing w:after="70" w:line="276"/>
      </w:pPr>
      <w:r>
        <w:rPr>
          <w:color w:val="1B1A18"/>
          <w:sz w:val="20"/>
          <w:szCs w:val="20"/>
        </w:rPr>
        <w:t xml:space="preserve">Which of the five principles is a custody requirement in different words?</w:t>
      </w:r>
    </w:p>
    <w:p>
      <w:pPr>
        <w:pStyle w:val="ListParagraph"/>
        <w:numPr>
          <w:ilvl w:val="0"/>
          <w:numId w:val="2"/>
        </w:numPr>
        <w:spacing w:after="70" w:line="276"/>
      </w:pPr>
      <w:r>
        <w:rPr>
          <w:color w:val="1B1A18"/>
          <w:sz w:val="20"/>
          <w:szCs w:val="20"/>
        </w:rPr>
        <w:t xml:space="preserve">Who in your institution currently closes the lineage gap by hand?</w:t>
      </w:r>
    </w:p>
    <w:p>
      <w:pPr>
        <w:pStyle w:val="ListParagraph"/>
        <w:numPr>
          <w:ilvl w:val="0"/>
          <w:numId w:val="2"/>
        </w:numPr>
        <w:spacing w:after="70" w:line="276"/>
      </w:pPr>
      <w:r>
        <w:rPr>
          <w:color w:val="1B1A18"/>
          <w:sz w:val="20"/>
          <w:szCs w:val="20"/>
        </w:rPr>
        <w:t xml:space="preserve">What happens to those principles when that person is replaced by an agent?</w:t>
      </w:r>
    </w:p>
    <w:p>
      <w:pPr>
        <w:pStyle w:val="Heading1"/>
        <w:spacing w:after="130" w:before="300"/>
      </w:pPr>
      <w:r>
        <w:rPr>
          <w:b/>
          <w:bCs/>
          <w:color w:val="33302B"/>
          <w:sz w:val="29"/>
          <w:szCs w:val="29"/>
        </w:rPr>
        <w:t xml:space="preserve">Using the pack</w:t>
      </w:r>
    </w:p>
    <w:p>
      <w:pPr>
        <w:pStyle w:val="ListParagraph"/>
        <w:numPr>
          <w:ilvl w:val="0"/>
          <w:numId w:val="2"/>
        </w:numPr>
        <w:spacing w:after="70" w:line="276"/>
      </w:pPr>
      <w:r>
        <w:rPr>
          <w:b/>
          <w:bCs/>
          <w:color w:val="1B1A18"/>
          <w:sz w:val="20"/>
          <w:szCs w:val="20"/>
        </w:rPr>
        <w:t xml:space="preserve">One case per module, in order. </w:t>
      </w:r>
      <w:r>
        <w:rPr>
          <w:color w:val="1B1A18"/>
          <w:sz w:val="20"/>
          <w:szCs w:val="20"/>
        </w:rPr>
        <w:t xml:space="preserve">Cases 1 and 2 in modules 1–3, case 3 in module 3 or 4, case 4 in module 4, case 5 in module 4, case 6 to close module 2 or module 6. Case 6 is the strongest closer.</w:t>
      </w:r>
    </w:p>
    <w:p>
      <w:pPr>
        <w:pStyle w:val="ListParagraph"/>
        <w:numPr>
          <w:ilvl w:val="0"/>
          <w:numId w:val="2"/>
        </w:numPr>
        <w:spacing w:after="70" w:line="276"/>
      </w:pPr>
      <w:r>
        <w:rPr>
          <w:b/>
          <w:bCs/>
          <w:color w:val="1B1A18"/>
          <w:sz w:val="20"/>
          <w:szCs w:val="20"/>
        </w:rPr>
        <w:t xml:space="preserve">Never teach a case as an AI failure. </w:t>
      </w:r>
      <w:r>
        <w:rPr>
          <w:color w:val="1B1A18"/>
          <w:sz w:val="20"/>
          <w:szCs w:val="20"/>
        </w:rPr>
        <w:t xml:space="preserve">Only one of the six involves anything resembling AI. Saying so early buys the instructor credibility with an audience that has heard a great deal of AI-incident theatre.</w:t>
      </w:r>
    </w:p>
    <w:p>
      <w:pPr>
        <w:pStyle w:val="ListParagraph"/>
        <w:numPr>
          <w:ilvl w:val="0"/>
          <w:numId w:val="2"/>
        </w:numPr>
        <w:spacing w:after="70" w:line="276"/>
      </w:pPr>
      <w:r>
        <w:rPr>
          <w:b/>
          <w:bCs/>
          <w:color w:val="1B1A18"/>
          <w:sz w:val="20"/>
          <w:szCs w:val="20"/>
        </w:rPr>
        <w:t xml:space="preserve">Always end on the participant’s own institution. </w:t>
      </w:r>
      <w:r>
        <w:rPr>
          <w:color w:val="1B1A18"/>
          <w:sz w:val="20"/>
          <w:szCs w:val="20"/>
        </w:rPr>
        <w:t xml:space="preserve">Every case has a final discussion question pointing inward. That question is the case’s only purpose; the history is scaffolding.</w:t>
      </w:r>
    </w:p>
    <w:p>
      <w:pPr>
        <w:pStyle w:val="ListParagraph"/>
        <w:numPr>
          <w:ilvl w:val="0"/>
          <w:numId w:val="2"/>
        </w:numPr>
        <w:spacing w:after="70" w:line="276"/>
      </w:pPr>
      <w:r>
        <w:rPr>
          <w:b/>
          <w:bCs/>
          <w:color w:val="1B1A18"/>
          <w:sz w:val="20"/>
          <w:szCs w:val="20"/>
        </w:rPr>
        <w:t xml:space="preserve">Refresh annually. </w:t>
      </w:r>
      <w:r>
        <w:rPr>
          <w:color w:val="1B1A18"/>
          <w:sz w:val="20"/>
          <w:szCs w:val="20"/>
        </w:rPr>
        <w:t xml:space="preserve">Open proceedings move and figures change. The judgments beneath them do not, which is why the teaching notes are written to survive a change in the number.</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MZ-EDU-FS-002 v1.0  •  teaching material · verify every figure against the primary source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MZ-EDU-FS-002 · case pack · financial services cohort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2026-08-18T07:30:48.761Z</dcterms:created>
  <dcterms:modified xsi:type="dcterms:W3CDTF">2026-08-18T07:30:48.761Z</dcterms:modified>
</cp:coreProperties>
</file>

<file path=docProps/custom.xml><?xml version="1.0" encoding="utf-8"?>
<Properties xmlns="http://schemas.openxmlformats.org/officeDocument/2006/custom-properties" xmlns:vt="http://schemas.openxmlformats.org/officeDocument/2006/docPropsVTypes"/>
</file>