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b/>
          <w:bCs/>
          <w:caps/>
          <w:color w:val="33302B"/>
          <w:sz w:val="18"/>
          <w:szCs w:val="18"/>
        </w:rPr>
        <w:t xml:space="preserve">Assessment kit · financial services cohort</w:t>
      </w:r>
    </w:p>
    <w:p>
      <w:pPr>
        <w:spacing w:after="60"/>
        <w:jc w:val="center"/>
      </w:pPr>
      <w:r>
        <w:rPr>
          <w:b/>
          <w:bCs/>
          <w:color w:val="1B1A18"/>
          <w:sz w:val="38"/>
          <w:szCs w:val="38"/>
        </w:rPr>
        <w:t xml:space="preserve">Exercises, Rubrics, and the Capstone Brief</w:t>
      </w:r>
    </w:p>
    <w:p>
      <w:pPr>
        <w:spacing w:after="150"/>
        <w:jc w:val="center"/>
      </w:pPr>
      <w:r>
        <w:rPr>
          <w:i/>
          <w:iCs/>
          <w:color w:val="6E6A62"/>
          <w:sz w:val="23"/>
          <w:szCs w:val="23"/>
        </w:rPr>
        <w:t xml:space="preserve">What is set, what is marked, and what a distinction looks like</w:t>
      </w:r>
    </w:p>
    <w:p>
      <w:pPr>
        <w:spacing w:after="40"/>
        <w:jc w:val="center"/>
      </w:pPr>
      <w:r>
        <w:rPr>
          <w:color w:val="1B1A18"/>
          <w:sz w:val="20"/>
          <w:szCs w:val="20"/>
        </w:rPr>
        <w:t xml:space="preserve">Companion to PCERT-FS · Georg Zangl</w:t>
      </w:r>
    </w:p>
    <w:p>
      <w:pPr>
        <w:spacing w:after="220"/>
        <w:jc w:val="center"/>
      </w:pPr>
      <w:r>
        <w:rPr>
          <w:b/>
          <w:bCs/>
          <w:color w:val="33302B"/>
          <w:sz w:val="18"/>
          <w:szCs w:val="18"/>
        </w:rPr>
        <w:t>MZ-EDU-FS-004 v1.0 · 28 August 2026</w:t>
      </w: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0" w:line="264"/>
            </w:pPr>
            <w:r>
              <w:rPr>
                <w:b/>
                <w:bCs/>
                <w:color w:val="1B1A18"/>
                <w:sz w:val="20"/>
                <w:szCs w:val="20"/>
              </w:rPr>
              <w:t xml:space="preserve">The marking principle. </w:t>
            </w:r>
            <w:r>
              <w:rPr>
                <w:color w:val="1B1A18"/>
                <w:sz w:val="20"/>
                <w:szCs w:val="20"/>
              </w:rPr>
              <w:t xml:space="preserve">Every exercise is marked on the evidence recorded, never on the conclusion reached. "Not demonstrated" is a complete and creditable answer and should score full marks when properly evidenced. An inferred pass scores nothing, however plausible. This inverts the instinct of most professional participants, who are used to being rewarded for producing a clean answer, and it must be stated in module 1 and enforced from the first exercise or it will not hold.</w:t>
            </w:r>
          </w:p>
        </w:tc>
      </w:tr>
    </w:tbl>
    <w:p>
      <w:pPr>
        <w:pStyle w:val="Heading1"/>
        <w:spacing w:after="130" w:before="300"/>
      </w:pPr>
      <w:r>
        <w:rPr>
          <w:b/>
          <w:bCs/>
          <w:color w:val="33302B"/>
          <w:sz w:val="29"/>
          <w:szCs w:val="29"/>
        </w:rPr>
        <w:t xml:space="preserve">1 · The five weekly exercises</w:t>
      </w:r>
    </w:p>
    <w:p>
      <w:pPr>
        <w:spacing w:after="11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560"/>
        <w:gridCol w:w="2400"/>
        <w:gridCol w:w="3400"/>
        <w:gridCol w:w="3720"/>
      </w:tblGrid>
      <w:tr>
        <w:trPr>
          <w:tblHeader/>
        </w:trPr>
        <w:tc>
          <w:tcPr>
            <w:tcW w:type="dxa" w:w="56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Wk</w:t>
            </w:r>
          </w:p>
        </w:tc>
        <w:tc>
          <w:tcPr>
            <w:tcW w:type="dxa" w:w="24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Exercise</w:t>
            </w:r>
          </w:p>
        </w:tc>
        <w:tc>
          <w:tcPr>
            <w:tcW w:type="dxa" w:w="34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Deliverable</w:t>
            </w:r>
          </w:p>
        </w:tc>
        <w:tc>
          <w:tcPr>
            <w:tcW w:type="dxa" w:w="372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Marked on</w:t>
            </w:r>
          </w:p>
        </w:tc>
      </w:tr>
      <w:tr>
        <w:tc>
          <w:tcPr>
            <w:tcW w:type="dxa" w:w="56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1</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Crossing map</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process the participant owns, with every crossing named and what each boundary is specified to carry.</w:t>
            </w:r>
          </w:p>
        </w:tc>
        <w:tc>
          <w:tcPr>
            <w:tcW w:type="dxa" w:w="372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Completeness of the crossing list, and whether the specification is stated as observed rather than as assumed. A map drawn from an architecture diagram scores half.</w:t>
            </w:r>
          </w:p>
        </w:tc>
      </w:tr>
      <w:tr>
        <w:tc>
          <w:tcPr>
            <w:tcW w:type="dxa" w:w="56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2</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Property-to-instrument map</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Each of the six properties mapped to the institution’s own instrument that already requires it, with owners named.</w:t>
            </w:r>
          </w:p>
        </w:tc>
        <w:tc>
          <w:tcPr>
            <w:tcW w:type="dxa" w:w="372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Correct mapping, and identification of at least one property with no owner. Naming the gap is the point of the exercise.</w:t>
            </w:r>
          </w:p>
        </w:tc>
      </w:tr>
      <w:tr>
        <w:tc>
          <w:tcPr>
            <w:tcW w:type="dxa" w:w="56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3</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Address test on five hard limits</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Five rules admitting no exception, each with its enforcement point, plus one oversight control placed into one of the three responses.</w:t>
            </w:r>
          </w:p>
        </w:tc>
        <w:tc>
          <w:tcPr>
            <w:tcW w:type="dxa" w:w="372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Whether an enforcement point was located or its absence recorded. Any answer resolving to a model instruction must be recorded as unenforced — marking that as enforced is the single most consequential error in the course.</w:t>
            </w:r>
          </w:p>
        </w:tc>
      </w:tr>
      <w:tr>
        <w:tc>
          <w:tcPr>
            <w:tcW w:type="dxa" w:w="56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4</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Last-month test</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transaction at least a month old, attribution attempted by query, with the schema and the rule-version position recorded.</w:t>
            </w:r>
          </w:p>
        </w:tc>
        <w:tc>
          <w:tcPr>
            <w:tcW w:type="dxa" w:w="372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Evidence discipline. A recorded failure with the schema attached scores higher than a success asserted without one.</w:t>
            </w:r>
          </w:p>
        </w:tc>
      </w:tr>
      <w:tr>
        <w:tc>
          <w:tcPr>
            <w:tcW w:type="dxa" w:w="56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5</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Census, substitution, two invoices</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Dependency census reaching the model layer, one substitution path costed, per-action cost for one agent over one month.</w:t>
            </w:r>
          </w:p>
        </w:tc>
        <w:tc>
          <w:tcPr>
            <w:tcW w:type="dxa" w:w="372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Whether the census reaches beyond the existing third-party register, and whether the substitution answer is a tested path or an assumption.</w:t>
            </w:r>
          </w:p>
        </w:tc>
      </w:tr>
    </w:tbl>
    <w:p>
      <w:pPr>
        <w:pStyle w:val="Heading1"/>
        <w:spacing w:after="130" w:before="300"/>
      </w:pPr>
      <w:r>
        <w:rPr>
          <w:b/>
          <w:bCs/>
          <w:color w:val="33302B"/>
          <w:sz w:val="29"/>
          <w:szCs w:val="29"/>
        </w:rPr>
        <w:t xml:space="preserve">2 · Capstone brief</w:t>
      </w:r>
    </w:p>
    <w:p>
      <w:pPr>
        <w:spacing w:after="120" w:before="0" w:line="276"/>
      </w:pPr>
      <w:r>
        <w:rPr>
          <w:b w:val="false"/>
          <w:bCs w:val="false"/>
          <w:i w:val="false"/>
          <w:iCs w:val="false"/>
          <w:color w:val="1B1A18"/>
          <w:sz w:val="20"/>
          <w:szCs w:val="20"/>
        </w:rPr>
        <w:t xml:space="preserve">Run the protocol end-to-end against one deployment: the participant’s own institution, a vendor platform under evaluation, or the supplied reference case. Record evidence, or its absence, for each test.</w:t>
      </w:r>
    </w:p>
    <w:p>
      <w:pPr>
        <w:spacing w:after="120" w:before="0" w:line="276"/>
      </w:pPr>
      <w:r>
        <w:rPr>
          <w:b w:val="false"/>
          <w:bCs w:val="false"/>
          <w:i w:val="false"/>
          <w:iCs w:val="false"/>
          <w:color w:val="1B1A18"/>
          <w:sz w:val="20"/>
          <w:szCs w:val="20"/>
        </w:rPr>
        <w:t xml:space="preserve">Deliverable: 6–8 pages, comprising a per-test verdict table, an overall custody position, and a prioritised remediation plan mapping each gap to the property it endangers and the crossing where it must be fixed.</w:t>
      </w:r>
    </w:p>
    <w:p>
      <w:pPr>
        <w:spacing w:after="120" w:before="0" w:line="276"/>
      </w:pPr>
      <w:r>
        <w:rPr>
          <w:b w:val="false"/>
          <w:bCs w:val="false"/>
          <w:i w:val="false"/>
          <w:iCs w:val="false"/>
          <w:color w:val="1B1A18"/>
          <w:sz w:val="20"/>
          <w:szCs w:val="20"/>
        </w:rPr>
        <w:t xml:space="preserve">The binding constraint: the assessment must be written in the institution’s own control vocabulary — control owners, enforcement points, evidence of operating effectiveness, residual risk — and must be readable by a risk committee that has not read the book and will not. A report that requires the reader to know what a crossing is has failed regardless of its analytical quality.</w:t>
      </w:r>
    </w:p>
    <w:p>
      <w:pPr>
        <w:pStyle w:val="Heading1"/>
        <w:spacing w:after="130" w:before="300"/>
      </w:pPr>
      <w:r>
        <w:rPr>
          <w:b/>
          <w:bCs/>
          <w:color w:val="33302B"/>
          <w:sz w:val="29"/>
          <w:szCs w:val="29"/>
        </w:rPr>
        <w:t xml:space="preserve">3 · Capstone rubric</w:t>
      </w:r>
    </w:p>
    <w:p>
      <w:pPr>
        <w:spacing w:after="11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400"/>
        <w:gridCol w:w="1100"/>
        <w:gridCol w:w="6580"/>
      </w:tblGrid>
      <w:tr>
        <w:trPr>
          <w:tblHeader/>
        </w:trPr>
        <w:tc>
          <w:tcPr>
            <w:tcW w:type="dxa" w:w="24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Criterion</w:t>
            </w:r>
          </w:p>
        </w:tc>
        <w:tc>
          <w:tcPr>
            <w:tcW w:type="dxa" w:w="11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Weight</w:t>
            </w:r>
          </w:p>
        </w:tc>
        <w:tc>
          <w:tcPr>
            <w:tcW w:type="dxa" w:w="65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What full marks require</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Evidence discipline</w:t>
            </w:r>
          </w:p>
        </w:tc>
        <w:tc>
          <w:tcPr>
            <w:tcW w:type="dxa" w:w="11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30%</w:t>
            </w:r>
          </w:p>
        </w:tc>
        <w:tc>
          <w:tcPr>
            <w:tcW w:type="dxa" w:w="65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Every verdict rests on something observed. Demonstrations are described — what crossed, between which systems, what arrived. Absences are recorded as absences without characterising the reason. No inferred passes anywhere.</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Property-to-crossing mapping</w:t>
            </w:r>
          </w:p>
        </w:tc>
        <w:tc>
          <w:tcPr>
            <w:tcW w:type="dxa" w:w="11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25%</w:t>
            </w:r>
          </w:p>
        </w:tc>
        <w:tc>
          <w:tcPr>
            <w:tcW w:type="dxa" w:w="65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Each gap attributed to the correct property and located at the crossing where it must be fixed, not at the system where it was noticed. This distinction is the course’s core analytical skill.</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Translation into control language</w:t>
            </w:r>
          </w:p>
        </w:tc>
        <w:tc>
          <w:tcPr>
            <w:tcW w:type="dxa" w:w="11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20%</w:t>
            </w:r>
          </w:p>
        </w:tc>
        <w:tc>
          <w:tcPr>
            <w:tcW w:type="dxa" w:w="65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Readable by a risk committee cold. The book’s vocabulary appears nowhere, or appears once with a definition. Findings phrased so a colleague can act on them rather than resist them.</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Actionability</w:t>
            </w:r>
          </w:p>
        </w:tc>
        <w:tc>
          <w:tcPr>
            <w:tcW w:type="dxa" w:w="11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15%</w:t>
            </w:r>
          </w:p>
        </w:tc>
        <w:tc>
          <w:tcPr>
            <w:tcW w:type="dxa" w:w="65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Remediation prioritised by consequence rather than by ease, with an owner and a line of defence named for each item. A finding without an owner is an observation.</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Bite</w:t>
            </w:r>
          </w:p>
        </w:tc>
        <w:tc>
          <w:tcPr>
            <w:tcW w:type="dxa" w:w="11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10%</w:t>
            </w:r>
          </w:p>
        </w:tc>
        <w:tc>
          <w:tcPr>
            <w:tcW w:type="dxa" w:w="65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tests were applied where they hurt — including to the institution’s preferred supplier and to systems the participant helped build. Reserved for distinction: a capstone in which nothing failed has usually not been run.</w:t>
            </w:r>
          </w:p>
        </w:tc>
      </w:tr>
    </w:tbl>
    <w:p>
      <w:pPr>
        <w:spacing w:after="140"/>
      </w:pPr>
    </w:p>
    <w:p>
      <w:pPr>
        <w:spacing w:after="120" w:before="0" w:line="276"/>
      </w:pPr>
      <w:r>
        <w:rPr>
          <w:b w:val="false"/>
          <w:bCs w:val="false"/>
          <w:i w:val="false"/>
          <w:iCs w:val="false"/>
          <w:color w:val="1B1A18"/>
          <w:sz w:val="20"/>
          <w:szCs w:val="20"/>
        </w:rPr>
        <w:t xml:space="preserve">With distinction: full marks on evidence discipline and bite, and a report a risk committee could table unedited. Pass: verdicts evidenced, mapping sound, language mostly translated. Fail: verdicts asserted, or the address test recorded as passed on the strength of a model instruction.</w:t>
      </w:r>
    </w:p>
    <w:p>
      <w:pPr>
        <w:pStyle w:val="Heading1"/>
        <w:spacing w:after="130" w:before="300"/>
      </w:pPr>
      <w:r>
        <w:rPr>
          <w:b/>
          <w:bCs/>
          <w:color w:val="33302B"/>
          <w:sz w:val="29"/>
          <w:szCs w:val="29"/>
        </w:rPr>
        <w:t xml:space="preserve">4 · Question bank for internal use</w:t>
      </w:r>
    </w:p>
    <w:p>
      <w:pPr>
        <w:spacing w:after="140" w:line="276"/>
      </w:pPr>
      <w:r>
        <w:rPr>
          <w:i/>
          <w:iCs/>
          <w:color w:val="6E6A62"/>
          <w:sz w:val="20"/>
          <w:szCs w:val="20"/>
        </w:rPr>
        <w:t xml:space="preserve">For knowledge checks, not for the capstone. Conceptual by design — no figure-recall questions, because figures date and the paper would date with them.</w:t>
      </w:r>
    </w:p>
    <w:p>
      <w:pPr>
        <w:pStyle w:val="ListParagraph"/>
        <w:numPr>
          <w:ilvl w:val="0"/>
          <w:numId w:val="2"/>
        </w:numPr>
        <w:spacing w:after="70" w:line="276"/>
      </w:pPr>
      <w:r>
        <w:rPr>
          <w:color w:val="1B1A18"/>
          <w:sz w:val="20"/>
          <w:szCs w:val="20"/>
        </w:rPr>
        <w:t xml:space="preserve">Explain why a rule that admits no exception cannot be enforced by a probabilistic component. Then give one example from your own institution.</w:t>
      </w:r>
    </w:p>
    <w:p>
      <w:pPr>
        <w:pStyle w:val="ListParagraph"/>
        <w:numPr>
          <w:ilvl w:val="0"/>
          <w:numId w:val="2"/>
        </w:numPr>
        <w:spacing w:after="70" w:line="276"/>
      </w:pPr>
      <w:r>
        <w:rPr>
          <w:color w:val="1B1A18"/>
          <w:sz w:val="20"/>
          <w:szCs w:val="20"/>
        </w:rPr>
        <w:t xml:space="preserve">Distinguish a data-quality error from a meaning error. Why is the second invisible to data-quality controls?</w:t>
      </w:r>
    </w:p>
    <w:p>
      <w:pPr>
        <w:pStyle w:val="ListParagraph"/>
        <w:numPr>
          <w:ilvl w:val="0"/>
          <w:numId w:val="2"/>
        </w:numPr>
        <w:spacing w:after="70" w:line="276"/>
      </w:pPr>
      <w:r>
        <w:rPr>
          <w:color w:val="1B1A18"/>
          <w:sz w:val="20"/>
          <w:szCs w:val="20"/>
        </w:rPr>
        <w:t xml:space="preserve">A firm reports high maturity in agentic AI and spends under a hundred thousand a year on AI. Give two readings of that and say which you would test first.</w:t>
      </w:r>
    </w:p>
    <w:p>
      <w:pPr>
        <w:pStyle w:val="ListParagraph"/>
        <w:numPr>
          <w:ilvl w:val="0"/>
          <w:numId w:val="2"/>
        </w:numPr>
        <w:spacing w:after="70" w:line="276"/>
      </w:pPr>
      <w:r>
        <w:rPr>
          <w:color w:val="1B1A18"/>
          <w:sz w:val="20"/>
          <w:szCs w:val="20"/>
        </w:rPr>
        <w:t xml:space="preserve">Why does attribution assembled after the fact fail as evidence of operating effectiveness, when it may be perfectly accurate?</w:t>
      </w:r>
    </w:p>
    <w:p>
      <w:pPr>
        <w:pStyle w:val="ListParagraph"/>
        <w:numPr>
          <w:ilvl w:val="0"/>
          <w:numId w:val="2"/>
        </w:numPr>
        <w:spacing w:after="70" w:line="276"/>
      </w:pPr>
      <w:r>
        <w:rPr>
          <w:color w:val="1B1A18"/>
          <w:sz w:val="20"/>
          <w:szCs w:val="20"/>
        </w:rPr>
        <w:t xml:space="preserve">An institution has a complete third-party register and a documented exit strategy. Name two dependencies that may still be unmanaged and explain why the register misses them.</w:t>
      </w:r>
    </w:p>
    <w:p>
      <w:pPr>
        <w:pStyle w:val="ListParagraph"/>
        <w:numPr>
          <w:ilvl w:val="0"/>
          <w:numId w:val="2"/>
        </w:numPr>
        <w:spacing w:after="70" w:line="276"/>
      </w:pPr>
      <w:r>
        <w:rPr>
          <w:color w:val="1B1A18"/>
          <w:sz w:val="20"/>
          <w:szCs w:val="20"/>
        </w:rPr>
        <w:t xml:space="preserve">Risk data aggregation principles were issued in 2013 and remain incompletely adopted. Give the custody explanation, and say what changes when the process is automated.</w:t>
      </w:r>
    </w:p>
    <w:p>
      <w:pPr>
        <w:pStyle w:val="ListParagraph"/>
        <w:numPr>
          <w:ilvl w:val="0"/>
          <w:numId w:val="2"/>
        </w:numPr>
        <w:spacing w:after="70" w:line="276"/>
      </w:pPr>
      <w:r>
        <w:rPr>
          <w:color w:val="1B1A18"/>
          <w:sz w:val="20"/>
          <w:szCs w:val="20"/>
        </w:rPr>
        <w:t xml:space="preserve">Your control library records human review of every exception. Volume is four thousand items a month. State the position honestly and identify which of the three responses applies.</w:t>
      </w:r>
    </w:p>
    <w:p>
      <w:pPr>
        <w:pStyle w:val="ListParagraph"/>
        <w:numPr>
          <w:ilvl w:val="0"/>
          <w:numId w:val="2"/>
        </w:numPr>
        <w:spacing w:after="70" w:line="276"/>
      </w:pPr>
      <w:r>
        <w:rPr>
          <w:color w:val="1B1A18"/>
          <w:sz w:val="20"/>
          <w:szCs w:val="20"/>
        </w:rPr>
        <w:t xml:space="preserve">Why does the examination protocol deliberately require no source code, no model weights, and no training data? Give both the practical and the durability reason.</w:t>
      </w:r>
    </w:p>
    <w:p>
      <w:pPr>
        <w:pStyle w:val="Heading1"/>
        <w:spacing w:after="130" w:before="300"/>
      </w:pPr>
      <w:r>
        <w:rPr>
          <w:b/>
          <w:bCs/>
          <w:color w:val="33302B"/>
          <w:sz w:val="29"/>
          <w:szCs w:val="29"/>
        </w:rPr>
        <w:t xml:space="preserve">5 · Note on assessing participants from your own institution</w:t>
      </w:r>
    </w:p>
    <w:p>
      <w:pPr>
        <w:spacing w:after="120" w:before="0" w:line="276"/>
      </w:pPr>
      <w:r>
        <w:rPr>
          <w:b w:val="false"/>
          <w:bCs w:val="false"/>
          <w:i w:val="false"/>
          <w:iCs w:val="false"/>
          <w:color w:val="1B1A18"/>
          <w:sz w:val="20"/>
          <w:szCs w:val="20"/>
        </w:rPr>
        <w:t xml:space="preserve">Where the instructor and the participants work for the same institution, the bite criterion becomes unmarkable in practice: nobody scores a colleague on how hard they were willing to embarrass a shared employer. Two workable fixes. Assess the capstone against the supplied reference case rather than the participant’s own deployment, or bring in an external assessor for that criterion alone. The third option — marking bite anyway — quietly converts the certificate into an attendance record, which is worth knowing before it happens rather than afterwards.</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6E6A62"/>
        <w:sz w:val="16"/>
        <w:szCs w:val="16"/>
      </w:rPr>
      <w:t xml:space="preserve">MZ-EDU-FS-004 v1.0  •  teaching material · financial services cohort  •  Page </w:t>
    </w:r>
    <w:r>
      <w:rPr>
        <w:color w:val="6E6A62"/>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E6A62"/>
        <w:sz w:val="16"/>
        <w:szCs w:val="16"/>
      </w:rPr>
      <w:t xml:space="preserve">MZ-EDU-FS-004 · assessment kit · financial services cohort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33302B"/>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2026-08-18T07:32:29.425Z</dcterms:created>
  <dcterms:modified xsi:type="dcterms:W3CDTF">2026-08-18T07:32:29.425Z</dcterms:modified>
</cp:coreProperties>
</file>

<file path=docProps/custom.xml><?xml version="1.0" encoding="utf-8"?>
<Properties xmlns="http://schemas.openxmlformats.org/officeDocument/2006/custom-properties" xmlns:vt="http://schemas.openxmlformats.org/officeDocument/2006/docPropsVTypes"/>
</file>