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360"/>
        <w:jc w:val="center"/>
      </w:pPr>
      <w:r>
        <w:rPr>
          <w:b/>
          <w:bCs/>
          <w:caps/>
          <w:color w:val="33302B"/>
          <w:sz w:val="18"/>
          <w:szCs w:val="18"/>
        </w:rPr>
        <w:t xml:space="preserve">Procurement guidance · for buyers and category teams</w:t>
      </w:r>
    </w:p>
    <w:p>
      <w:pPr>
        <w:spacing w:after="60"/>
        <w:jc w:val="center"/>
      </w:pPr>
      <w:r>
        <w:rPr>
          <w:b/>
          <w:bCs/>
          <w:color w:val="1B1A18"/>
          <w:sz w:val="38"/>
          <w:szCs w:val="38"/>
        </w:rPr>
        <w:t xml:space="preserve">Procuring Agentic Systems</w:t>
      </w:r>
    </w:p>
    <w:p>
      <w:pPr>
        <w:spacing w:after="150"/>
        <w:jc w:val="center"/>
      </w:pPr>
      <w:r>
        <w:rPr>
          <w:i/>
          <w:iCs/>
          <w:color w:val="6E6A62"/>
          <w:sz w:val="23"/>
          <w:szCs w:val="23"/>
        </w:rPr>
        <w:t xml:space="preserve">Requirements, demonstrations, and evaluation — drafting material for review by counsel</w:t>
      </w:r>
    </w:p>
    <w:p>
      <w:pPr>
        <w:spacing w:after="40"/>
        <w:jc w:val="center"/>
      </w:pPr>
      <w:r>
        <w:rPr>
          <w:color w:val="1B1A18"/>
          <w:sz w:val="20"/>
          <w:szCs w:val="20"/>
        </w:rPr>
        <w:t xml:space="preserve">Derived from What the Structure Does Not Carry · Georg Zangl</w:t>
      </w:r>
    </w:p>
    <w:p>
      <w:pPr>
        <w:spacing w:after="220"/>
        <w:jc w:val="center"/>
      </w:pPr>
      <w:r>
        <w:rPr>
          <w:b/>
          <w:bCs/>
          <w:color w:val="33302B"/>
          <w:sz w:val="18"/>
          <w:szCs w:val="18"/>
        </w:rPr>
        <w:t>MZ-PRC-001 v1.0 · 28 August 2026</w:t>
      </w:r>
    </w:p>
    <w:tbl>
      <w:tblPr>
        <w:tblW w:type="dxa" w:w="10080"/>
        <w:tblBorders>
          <w:top w:val="single" w:color="D6D2C9" w:sz="4"/>
          <w:left w:val="single" w:color="8A8378" w:sz="12"/>
          <w:bottom w:val="single" w:color="D6D2C9" w:sz="4"/>
          <w:right w:val="single" w:color="D6D2C9" w:sz="4"/>
          <w:insideH w:val="none"/>
          <w:insideV w:val="none"/>
        </w:tblBorders>
      </w:tblPr>
      <w:tblGrid>
        <w:gridCol w:w="10080"/>
      </w:tblGrid>
      <w:tr>
        <w:tc>
          <w:tcPr>
            <w:tcW w:type="dxa" w:w="10080"/>
            <w:shd w:fill="F4F2EE" w:color="auto" w:val="clear"/>
            <w:tcMar>
              <w:top w:type="dxa" w:w="120"/>
              <w:left w:type="dxa" w:w="160"/>
              <w:bottom w:type="dxa" w:w="120"/>
              <w:right w:type="dxa" w:w="160"/>
            </w:tcMar>
          </w:tcPr>
          <w:p>
            <w:pPr>
              <w:spacing w:after="80" w:line="264"/>
            </w:pPr>
            <w:r>
              <w:rPr>
                <w:b/>
                <w:bCs/>
                <w:color w:val="1B1A18"/>
                <w:sz w:val="20"/>
                <w:szCs w:val="20"/>
              </w:rPr>
              <w:t xml:space="preserve">Not legal advice, and not a template to issue unread. </w:t>
            </w:r>
            <w:r>
              <w:rPr>
                <w:color w:val="1B1A18"/>
                <w:sz w:val="20"/>
                <w:szCs w:val="20"/>
              </w:rPr>
              <w:t xml:space="preserve">This is written by an engineer, not a lawyer. It states no law of any jurisdiction and no procurement rule of any authority. It is drafting and evaluation material intended to be worked over by your own legal, procurement and compliance functions before any of it reaches a supplier. Where it appears to state a legal position, treat that as a drafting error and rely on your own advice. Public bodies in particular operate under procedural rules this document does not attempt to describe.</w:t>
            </w:r>
          </w:p>
          <w:p>
            <w:pPr>
              <w:spacing w:after="0" w:line="264"/>
            </w:pPr>
            <w:r>
              <w:rPr>
                <w:b/>
                <w:bCs/>
                <w:color w:val="1B1A18"/>
                <w:sz w:val="20"/>
                <w:szCs w:val="20"/>
              </w:rPr>
              <w:t xml:space="preserve">Declaration of interest. </w:t>
            </w:r>
            <w:r>
              <w:rPr>
                <w:color w:val="1B1A18"/>
                <w:sz w:val="20"/>
                <w:szCs w:val="20"/>
              </w:rPr>
              <w:t xml:space="preserve">The author builds infrastructure of the kind the requirements below describe, and has a commercial interest in their adoption. Every requirement here is stated as an outcome to be demonstrated, satisfiable by any construction, and deliberately names no architecture, product or supplier — including the author’s. If a requirement below can only be met by buying something specific, it is badly drafted and should be rewritten.</w:t>
            </w:r>
          </w:p>
        </w:tc>
      </w:tr>
    </w:tbl>
    <w:p>
      <w:pPr>
        <w:pStyle w:val="Heading1"/>
        <w:spacing w:after="130" w:before="300"/>
      </w:pPr>
      <w:r>
        <w:rPr>
          <w:b/>
          <w:bCs/>
          <w:color w:val="33302B"/>
          <w:sz w:val="29"/>
          <w:szCs w:val="29"/>
        </w:rPr>
        <w:t xml:space="preserve">1 · Why procurement is the decisive function here</w:t>
      </w:r>
    </w:p>
    <w:p>
      <w:pPr>
        <w:spacing w:after="120" w:before="0" w:line="276"/>
      </w:pPr>
      <w:r>
        <w:rPr>
          <w:b w:val="false"/>
          <w:bCs w:val="false"/>
          <w:i w:val="false"/>
          <w:iCs w:val="false"/>
          <w:color w:val="1B1A18"/>
          <w:sz w:val="20"/>
          <w:szCs w:val="20"/>
        </w:rPr>
        <w:t xml:space="preserve">Governance functions write policy. Regulators write rules. Neither binds a supplier. You do.</w:t>
      </w:r>
    </w:p>
    <w:p>
      <w:pPr>
        <w:spacing w:after="120" w:before="0" w:line="276"/>
      </w:pPr>
      <w:r>
        <w:rPr>
          <w:b w:val="false"/>
          <w:bCs w:val="false"/>
          <w:i w:val="false"/>
          <w:iCs w:val="false"/>
          <w:color w:val="1B1A18"/>
          <w:sz w:val="20"/>
          <w:szCs w:val="20"/>
        </w:rPr>
        <w:t xml:space="preserve">Almost everything an institution will be able to demand of an agentic system in five years is being settled now, in agreements signed this quarter, by teams working under time pressure from templates written for software licensing. Once the agreement is signed, the institution’s ability to obtain evidence about its own operations is whatever the contract provided for — and evidence rights are the one thing that cannot be retrofitted, because the evidence of a transaction exists only at the transaction.</w:t>
      </w:r>
    </w:p>
    <w:p>
      <w:pPr>
        <w:spacing w:after="120"/>
      </w:pPr>
    </w:p>
    <w:tbl>
      <w:tblPr>
        <w:tblW w:type="dxa" w:w="10080"/>
        <w:tblBorders>
          <w:top w:val="single" w:color="D6D2C9" w:sz="4"/>
          <w:left w:val="single" w:color="8A8378" w:sz="12"/>
          <w:bottom w:val="single" w:color="D6D2C9" w:sz="4"/>
          <w:right w:val="single" w:color="D6D2C9" w:sz="4"/>
          <w:insideH w:val="none"/>
          <w:insideV w:val="none"/>
        </w:tblBorders>
      </w:tblPr>
      <w:tblGrid>
        <w:gridCol w:w="10080"/>
      </w:tblGrid>
      <w:tr>
        <w:tc>
          <w:tcPr>
            <w:tcW w:type="dxa" w:w="10080"/>
            <w:shd w:fill="F4F2EE" w:color="auto" w:val="clear"/>
            <w:tcMar>
              <w:top w:type="dxa" w:w="120"/>
              <w:left w:type="dxa" w:w="160"/>
              <w:bottom w:type="dxa" w:w="120"/>
              <w:right w:type="dxa" w:w="160"/>
            </w:tcMar>
          </w:tcPr>
          <w:p>
            <w:pPr>
              <w:spacing w:after="0" w:line="264"/>
            </w:pPr>
            <w:r>
              <w:rPr>
                <w:b/>
                <w:bCs/>
                <w:color w:val="1B1A18"/>
                <w:sz w:val="20"/>
                <w:szCs w:val="20"/>
              </w:rPr>
              <w:t xml:space="preserve">The single most useful fact in this document. </w:t>
            </w:r>
            <w:r>
              <w:rPr>
                <w:color w:val="1B1A18"/>
                <w:sz w:val="20"/>
                <w:szCs w:val="20"/>
              </w:rPr>
              <w:t xml:space="preserve">Everything proposed here can be verified without access to source code, model weights, or training data. That matters commercially rather than technically: suppliers defeat conventional audit rights with trade-secret and confidentiality objections, and they are usually right to. A right to a demonstration at a boundary, run in the supplier’s own environment and revealing nothing about how the system is built, is very hard to refuse and cheap to exercise — which means it will actually be exercised, unlike the audit right in your current template.</w:t>
            </w:r>
          </w:p>
        </w:tc>
      </w:tr>
    </w:tbl>
    <w:p>
      <w:pPr>
        <w:pStyle w:val="Heading1"/>
        <w:spacing w:after="130" w:before="300"/>
      </w:pPr>
      <w:r>
        <w:rPr>
          <w:b/>
          <w:bCs/>
          <w:color w:val="33302B"/>
          <w:sz w:val="29"/>
          <w:szCs w:val="29"/>
        </w:rPr>
        <w:t xml:space="preserve">2 · Sequencing: ask the second meeting’s questions in the first</w:t>
      </w:r>
    </w:p>
    <w:p>
      <w:pPr>
        <w:spacing w:after="120" w:before="0" w:line="276"/>
      </w:pPr>
      <w:r>
        <w:rPr>
          <w:b w:val="false"/>
          <w:bCs w:val="false"/>
          <w:i w:val="false"/>
          <w:iCs w:val="false"/>
          <w:color w:val="1B1A18"/>
          <w:sz w:val="20"/>
          <w:szCs w:val="20"/>
        </w:rPr>
        <w:t xml:space="preserve">The commonest failure in agentic procurement is not choosing the wrong supplier. It is an evaluation that begins with capability and ends with capability: a quarter of impressive demonstrations, an internal champion, a business case, and then the risk function’s questions arriving too late to be answered. The pilot joins the statistics and nobody records why.</w:t>
      </w:r>
    </w:p>
    <w:p>
      <w:pPr>
        <w:spacing w:after="120" w:before="0" w:line="276"/>
      </w:pPr>
      <w:r>
        <w:rPr>
          <w:b w:val="false"/>
          <w:bCs w:val="false"/>
          <w:i w:val="false"/>
          <w:iCs w:val="false"/>
          <w:color w:val="1B1A18"/>
          <w:sz w:val="20"/>
          <w:szCs w:val="20"/>
        </w:rPr>
        <w:t xml:space="preserve">The remedy is sequencing rather than scepticism. The questions in section 4 cost a supplier one meeting to answer if the system does what the words claim, and cost the evaluation nothing to ask. Put them first, and let the capability demonstration be the reward for passing rather than the substitute for it. A supplier who has built what they describe is not surprised by any of them.</w:t>
      </w:r>
    </w:p>
    <w:p>
      <w:pPr>
        <w:pStyle w:val="Heading1"/>
        <w:spacing w:after="130" w:before="300"/>
      </w:pPr>
      <w:r>
        <w:rPr>
          <w:b/>
          <w:bCs/>
          <w:color w:val="33302B"/>
          <w:sz w:val="29"/>
          <w:szCs w:val="29"/>
        </w:rPr>
        <w:t xml:space="preserve">3 · Writing the requirement</w:t>
      </w:r>
    </w:p>
    <w:p>
      <w:pPr>
        <w:spacing w:after="120" w:before="0" w:line="276"/>
      </w:pPr>
      <w:r>
        <w:rPr>
          <w:b w:val="false"/>
          <w:bCs w:val="false"/>
          <w:i w:val="false"/>
          <w:iCs w:val="false"/>
          <w:color w:val="1B1A18"/>
          <w:sz w:val="20"/>
          <w:szCs w:val="20"/>
        </w:rPr>
        <w:t xml:space="preserve">One rule governs every requirement in this document, and it is the difference between a specification that survives the contract term and one that is obsolete at the first platform change.</w:t>
      </w:r>
    </w:p>
    <w:p>
      <w:pPr>
        <w:spacing w:after="110"/>
      </w:pP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2600"/>
        <w:gridCol w:w="3600"/>
        <w:gridCol w:w="3880"/>
      </w:tblGrid>
      <w:tr>
        <w:trPr>
          <w:tblHeader/>
        </w:trPr>
        <w:tc>
          <w:tcPr>
            <w:tcW w:type="dxa" w:w="26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Do not write</w:t>
            </w:r>
          </w:p>
        </w:tc>
        <w:tc>
          <w:tcPr>
            <w:tcW w:type="dxa" w:w="36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Write instead</w:t>
            </w:r>
          </w:p>
        </w:tc>
        <w:tc>
          <w:tcPr>
            <w:tcW w:type="dxa" w:w="388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Why</w:t>
            </w:r>
          </w:p>
        </w:tc>
      </w:tr>
      <w:tr>
        <w:tc>
          <w:tcPr>
            <w:tcW w:type="dxa" w:w="26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The system shall use an immutable append-only ledger for audit records.</w:t>
            </w:r>
          </w:p>
        </w:tc>
        <w:tc>
          <w:tcPr>
            <w:tcW w:type="dxa" w:w="36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supplier shall demonstrate that a record of a transaction executed at least one month previously can be produced by query, including the version of the rule then in force, and verified by a party that does not operate the system.</w:t>
            </w:r>
          </w:p>
        </w:tc>
        <w:tc>
          <w:tcPr>
            <w:tcW w:type="dxa" w:w="38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first names a mechanism, dates within a year, and can be satisfied literally while the property fails. The second states the outcome and is testable by observation.</w:t>
            </w:r>
          </w:p>
        </w:tc>
      </w:tr>
      <w:tr>
        <w:tc>
          <w:tcPr>
            <w:tcW w:type="dxa" w:w="26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The system shall enforce policy through a policy engine.</w:t>
            </w:r>
          </w:p>
        </w:tc>
        <w:tc>
          <w:tcPr>
            <w:tcW w:type="dxa" w:w="36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supplier shall identify, for each rule the customer designates as admitting no exception, the single point through which all subject work passes, and shall demonstrate refusal of an attempted breach originating from a privileged component.</w:t>
            </w:r>
          </w:p>
        </w:tc>
        <w:tc>
          <w:tcPr>
            <w:tcW w:type="dxa" w:w="38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Every supplier will claim a policy engine. Only some can name the enforcement point and show a refusal.</w:t>
            </w:r>
          </w:p>
        </w:tc>
      </w:tr>
      <w:tr>
        <w:tc>
          <w:tcPr>
            <w:tcW w:type="dxa" w:w="26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The system shall be model-agnostic.</w:t>
            </w:r>
          </w:p>
        </w:tc>
        <w:tc>
          <w:tcPr>
            <w:tcW w:type="dxa" w:w="36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supplier may change models. Every warranty in this schedule shall continue to hold across such a change, on notice, with a right to re-run any demonstration at the supplier’s cost.</w:t>
            </w:r>
          </w:p>
        </w:tc>
        <w:tc>
          <w:tcPr>
            <w:tcW w:type="dxa" w:w="38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Model agnosticism is an architecture claim of no contractual value. What the buyer needs is that the properties survive the change.</w:t>
            </w:r>
          </w:p>
        </w:tc>
      </w:tr>
      <w:tr>
        <w:tc>
          <w:tcPr>
            <w:tcW w:type="dxa" w:w="26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The supplier shall provide a comprehensive audit trail.</w:t>
            </w:r>
          </w:p>
        </w:tc>
        <w:tc>
          <w:tcPr>
            <w:tcW w:type="dxa" w:w="36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supplier shall demonstrate that attribution captured at execution includes the acting participant, the authority relied upon, and the rule version in force, and shall provide the record schema.</w:t>
            </w:r>
          </w:p>
        </w:tc>
        <w:tc>
          <w:tcPr>
            <w:tcW w:type="dxa" w:w="38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"Comprehensive" is unfalsifiable. The schema distinguishes a record generated at execution from a report assembled afterwards.</w:t>
            </w:r>
          </w:p>
        </w:tc>
      </w:tr>
    </w:tbl>
    <w:p>
      <w:pPr>
        <w:spacing w:after="140"/>
      </w:pPr>
    </w:p>
    <w:p>
      <w:pPr>
        <w:spacing w:after="120" w:before="0" w:line="276"/>
      </w:pPr>
      <w:r>
        <w:rPr>
          <w:b w:val="false"/>
          <w:bCs w:val="false"/>
          <w:i w:val="false"/>
          <w:iCs w:val="false"/>
          <w:color w:val="1B1A18"/>
          <w:sz w:val="20"/>
          <w:szCs w:val="20"/>
        </w:rPr>
        <w:t xml:space="preserve">The public-sector variant of this rule is worth stating separately, because it usually points the same way for a different reason. Contracting authorities generally work under obligations of objectivity, non-discrimination and — where feasible — technology neutrality, and award criteria are usually expected to be linked to the subject matter and capable of being verified. A specification naming an architecture risks favouring a supplier and inviting challenge; a specification stating an outcome plus a demonstration is technology-neutral by construction and verifiable by observation. That is a convenient alignment rather than a legal opinion, and the applicable rules should be confirmed with your own counsel.</w:t>
      </w:r>
    </w:p>
    <w:p>
      <w:pPr>
        <w:pStyle w:val="Heading1"/>
        <w:spacing w:after="130" w:before="300"/>
      </w:pPr>
      <w:r>
        <w:rPr>
          <w:b/>
          <w:bCs/>
          <w:color w:val="33302B"/>
          <w:sz w:val="29"/>
          <w:szCs w:val="29"/>
        </w:rPr>
        <w:t xml:space="preserve">4 · The demonstration day</w:t>
      </w:r>
    </w:p>
    <w:p>
      <w:pPr>
        <w:spacing w:after="120" w:before="0" w:line="276"/>
      </w:pPr>
      <w:r>
        <w:rPr>
          <w:b w:val="false"/>
          <w:bCs w:val="false"/>
          <w:i w:val="false"/>
          <w:iCs w:val="false"/>
          <w:color w:val="1B1A18"/>
          <w:sz w:val="20"/>
          <w:szCs w:val="20"/>
        </w:rPr>
        <w:t xml:space="preserve">A structured half day, run against a working environment rather than a deck, ideally before shortlisting rather than after. Every item is a demonstration; a verbal answer is a lead, not a result. The single instruction that carries the whole session: </w:t>
      </w:r>
    </w:p>
    <w:p>
      <w:pPr>
        <w:spacing w:after="120" w:before="0" w:line="276"/>
      </w:pPr>
      <w:r>
        <w:rPr>
          <w:b/>
          <w:bCs/>
          <w:i/>
          <w:iCs/>
          <w:color w:val="1B1A18"/>
          <w:sz w:val="20"/>
          <w:szCs w:val="20"/>
        </w:rPr>
        <w:t xml:space="preserve">Show the crossing, and show what survives it.</w:t>
      </w:r>
    </w:p>
    <w:p>
      <w:pPr>
        <w:spacing w:after="110"/>
      </w:pP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2200"/>
        <w:gridCol w:w="4200"/>
        <w:gridCol w:w="3680"/>
      </w:tblGrid>
      <w:tr>
        <w:trPr>
          <w:tblHeader/>
        </w:trPr>
        <w:tc>
          <w:tcPr>
            <w:tcW w:type="dxa" w:w="22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Item</w:t>
            </w:r>
          </w:p>
        </w:tc>
        <w:tc>
          <w:tcPr>
            <w:tcW w:type="dxa" w:w="42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What to require</w:t>
            </w:r>
          </w:p>
        </w:tc>
        <w:tc>
          <w:tcPr>
            <w:tcW w:type="dxa" w:w="368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What you are learning</w:t>
            </w:r>
          </w:p>
        </w:tc>
      </w:tr>
      <w:tr>
        <w:tc>
          <w:tcPr>
            <w:tcW w:type="dxa" w:w="22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Live crossing</w:t>
            </w:r>
          </w:p>
        </w:tc>
        <w:tc>
          <w:tcPr>
            <w:tcW w:type="dxa" w:w="42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Pass one real item of work from one system to the next, in front of you. Inspect what arrives.</w:t>
            </w:r>
          </w:p>
        </w:tc>
        <w:tc>
          <w:tcPr>
            <w:tcW w:type="dxa" w:w="3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Whether conditions attached to a value travel with it, or only the value. This single item predicts most of the rest.</w:t>
            </w:r>
          </w:p>
        </w:tc>
      </w:tr>
      <w:tr>
        <w:tc>
          <w:tcPr>
            <w:tcW w:type="dxa" w:w="22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Enforcement point</w:t>
            </w:r>
          </w:p>
        </w:tc>
        <w:tc>
          <w:tcPr>
            <w:tcW w:type="dxa" w:w="42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Name one rule that admits no exception. Ask where it is physically enforced, then attempt a breach.</w:t>
            </w:r>
          </w:p>
        </w:tc>
        <w:tc>
          <w:tcPr>
            <w:tcW w:type="dxa" w:w="3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Whether the rule is enforced or instructed. Disqualify any answer whose effect is statistical.</w:t>
            </w:r>
          </w:p>
        </w:tc>
      </w:tr>
      <w:tr>
        <w:tc>
          <w:tcPr>
            <w:tcW w:type="dxa" w:w="22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Onboarding</w:t>
            </w:r>
          </w:p>
        </w:tc>
        <w:tc>
          <w:tcPr>
            <w:tcW w:type="dxa" w:w="42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Ask what adding a new tenant, jurisdiction, or regulation requires. Ask where a new agent proves itself.</w:t>
            </w:r>
          </w:p>
        </w:tc>
        <w:tc>
          <w:tcPr>
            <w:tcW w:type="dxa" w:w="3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Rows or releases. A development environment as the proving ground is a release pipeline under another name.</w:t>
            </w:r>
          </w:p>
        </w:tc>
      </w:tr>
      <w:tr>
        <w:tc>
          <w:tcPr>
            <w:tcW w:type="dxa" w:w="22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Isolation</w:t>
            </w:r>
          </w:p>
        </w:tc>
        <w:tc>
          <w:tcPr>
            <w:tcW w:type="dxa" w:w="42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Ask their engineers to write the statement that would cross a tenancy or jurisdictional boundary.</w:t>
            </w:r>
          </w:p>
        </w:tc>
        <w:tc>
          <w:tcPr>
            <w:tcW w:type="dxa" w:w="3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Whether isolation is a policy someone follows or something that cannot be expressed. It usually can be written.</w:t>
            </w:r>
          </w:p>
        </w:tc>
      </w:tr>
      <w:tr>
        <w:tc>
          <w:tcPr>
            <w:tcW w:type="dxa" w:w="22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Provenance</w:t>
            </w:r>
          </w:p>
        </w:tc>
        <w:tc>
          <w:tcPr>
            <w:tcW w:type="dxa" w:w="42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Ask what the system knows about where a retrieved document came from, and what that class may influence.</w:t>
            </w:r>
          </w:p>
        </w:tc>
        <w:tc>
          <w:tcPr>
            <w:tcW w:type="dxa" w:w="3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Whether unverified content can influence a decision reserved to trusted content. This is the injection surface, stated commercially.</w:t>
            </w:r>
          </w:p>
        </w:tc>
      </w:tr>
      <w:tr>
        <w:tc>
          <w:tcPr>
            <w:tcW w:type="dxa" w:w="22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Record</w:t>
            </w:r>
          </w:p>
        </w:tc>
        <w:tc>
          <w:tcPr>
            <w:tcW w:type="dxa" w:w="42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Select a transaction from at least a month ago. Require full attribution by query, in the room, with the schema.</w:t>
            </w:r>
          </w:p>
        </w:tc>
        <w:tc>
          <w:tcPr>
            <w:tcW w:type="dxa" w:w="3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Whether they hold a record or produce a reconstruction. The most diagnostic item in the day.</w:t>
            </w:r>
          </w:p>
        </w:tc>
      </w:tr>
      <w:tr>
        <w:tc>
          <w:tcPr>
            <w:tcW w:type="dxa" w:w="22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Dependencies</w:t>
            </w:r>
          </w:p>
        </w:tc>
        <w:tc>
          <w:tcPr>
            <w:tcW w:type="dxa" w:w="42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Require the list of every party whose availability, pricing or policy the service relies on.</w:t>
            </w:r>
          </w:p>
        </w:tc>
        <w:tc>
          <w:tcPr>
            <w:tcW w:type="dxa" w:w="3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Whether the list already existed or was assembled for you. Ask when it last changed.</w:t>
            </w:r>
          </w:p>
        </w:tc>
      </w:tr>
      <w:tr>
        <w:tc>
          <w:tcPr>
            <w:tcW w:type="dxa" w:w="22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Substitution</w:t>
            </w:r>
          </w:p>
        </w:tc>
        <w:tc>
          <w:tcPr>
            <w:tcW w:type="dxa" w:w="42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For each entry, ask the cost of replacing it within a defined period.</w:t>
            </w:r>
          </w:p>
        </w:tc>
        <w:tc>
          <w:tcPr>
            <w:tcW w:type="dxa" w:w="3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Whether any single dependency can be refused. Note the answer even where it is uncomfortable for both sides.</w:t>
            </w:r>
          </w:p>
        </w:tc>
      </w:tr>
      <w:tr>
        <w:tc>
          <w:tcPr>
            <w:tcW w:type="dxa" w:w="22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Cost per action</w:t>
            </w:r>
          </w:p>
        </w:tc>
        <w:tc>
          <w:tcPr>
            <w:tcW w:type="dxa" w:w="42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Require cost and consumption per action for one agent over one month, from execution records.</w:t>
            </w:r>
          </w:p>
        </w:tc>
        <w:tc>
          <w:tcPr>
            <w:tcW w:type="dxa" w:w="36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Whether the platform can attribute its own costs. Inability here is architectural evidence, not a billing preference.</w:t>
            </w:r>
          </w:p>
        </w:tc>
      </w:tr>
    </w:tbl>
    <w:p>
      <w:pPr>
        <w:spacing w:after="140"/>
      </w:pPr>
    </w:p>
    <w:p>
      <w:pPr>
        <w:spacing w:after="120" w:before="0" w:line="276"/>
      </w:pPr>
      <w:r>
        <w:rPr>
          <w:b w:val="false"/>
          <w:bCs w:val="false"/>
          <w:i w:val="false"/>
          <w:iCs w:val="false"/>
          <w:color w:val="1B1A18"/>
          <w:sz w:val="20"/>
          <w:szCs w:val="20"/>
        </w:rPr>
        <w:t xml:space="preserve">Two practical notes. Give the supplier the list in advance — the object is not ambush, and a supplier who prepares well is demonstrating exactly the capability being assessed. And run the day with someone from the second line present, because the questions that matter most in the room are the ones an evaluator without control experience will not think to press.</w:t>
      </w:r>
    </w:p>
    <w:p>
      <w:pPr>
        <w:pStyle w:val="Heading1"/>
        <w:spacing w:after="130" w:before="300"/>
      </w:pPr>
      <w:r>
        <w:rPr>
          <w:b/>
          <w:bCs/>
          <w:color w:val="33302B"/>
          <w:sz w:val="29"/>
          <w:szCs w:val="29"/>
        </w:rPr>
        <w:t xml:space="preserve">5 · Scoring</w:t>
      </w:r>
    </w:p>
    <w:p>
      <w:pPr>
        <w:spacing w:after="120" w:before="0" w:line="276"/>
      </w:pPr>
      <w:r>
        <w:rPr>
          <w:b w:val="false"/>
          <w:bCs w:val="false"/>
          <w:i w:val="false"/>
          <w:iCs w:val="false"/>
          <w:color w:val="1B1A18"/>
          <w:sz w:val="20"/>
          <w:szCs w:val="20"/>
        </w:rPr>
        <w:t xml:space="preserve">Three verdicts, and only one of them may be inferred.</w:t>
      </w:r>
    </w:p>
    <w:p>
      <w:pPr>
        <w:pStyle w:val="ListParagraph"/>
        <w:numPr>
          <w:ilvl w:val="0"/>
          <w:numId w:val="2"/>
        </w:numPr>
        <w:spacing w:after="70" w:line="276"/>
      </w:pPr>
      <w:r>
        <w:rPr>
          <w:b/>
          <w:bCs/>
          <w:color w:val="1B1A18"/>
          <w:sz w:val="20"/>
          <w:szCs w:val="20"/>
        </w:rPr>
        <w:t xml:space="preserve">Demonstrated. </w:t>
      </w:r>
      <w:r>
        <w:rPr>
          <w:color w:val="1B1A18"/>
          <w:sz w:val="20"/>
          <w:szCs w:val="20"/>
        </w:rPr>
        <w:t xml:space="preserve">Observed in the room. Record what crossed, between which systems, and what arrived.</w:t>
      </w:r>
    </w:p>
    <w:p>
      <w:pPr>
        <w:pStyle w:val="ListParagraph"/>
        <w:numPr>
          <w:ilvl w:val="0"/>
          <w:numId w:val="2"/>
        </w:numPr>
        <w:spacing w:after="70" w:line="276"/>
      </w:pPr>
      <w:r>
        <w:rPr>
          <w:b/>
          <w:bCs/>
          <w:color w:val="1B1A18"/>
          <w:sz w:val="20"/>
          <w:szCs w:val="20"/>
        </w:rPr>
        <w:t xml:space="preserve">Not demonstrated. </w:t>
      </w:r>
      <w:r>
        <w:rPr>
          <w:color w:val="1B1A18"/>
          <w:sz w:val="20"/>
          <w:szCs w:val="20"/>
        </w:rPr>
        <w:t xml:space="preserve">Attempted and inconclusive, or declined. Record which, without characterising the reason.</w:t>
      </w:r>
    </w:p>
    <w:p>
      <w:pPr>
        <w:pStyle w:val="ListParagraph"/>
        <w:numPr>
          <w:ilvl w:val="0"/>
          <w:numId w:val="2"/>
        </w:numPr>
        <w:spacing w:after="70" w:line="276"/>
      </w:pPr>
      <w:r>
        <w:rPr>
          <w:b/>
          <w:bCs/>
          <w:color w:val="1B1A18"/>
          <w:sz w:val="20"/>
          <w:szCs w:val="20"/>
        </w:rPr>
        <w:t xml:space="preserve">Not applicable. </w:t>
      </w:r>
      <w:r>
        <w:rPr>
          <w:color w:val="1B1A18"/>
          <w:sz w:val="20"/>
          <w:szCs w:val="20"/>
        </w:rPr>
        <w:t xml:space="preserve">The service has no boundary of the relevant kind. Rare, and to be recorded with the reason — it is the verdict an unprepared respondent reaches for.</w:t>
      </w:r>
    </w:p>
    <w:p>
      <w:pPr>
        <w:spacing w:after="120" w:before="60" w:line="276"/>
      </w:pPr>
      <w:r>
        <w:rPr>
          <w:b w:val="false"/>
          <w:bCs w:val="false"/>
          <w:i w:val="false"/>
          <w:iCs w:val="false"/>
          <w:color w:val="1B1A18"/>
          <w:sz w:val="20"/>
          <w:szCs w:val="20"/>
        </w:rPr>
        <w:t xml:space="preserve">There is no partial verdict and none for a documented intention. An evaluation that accepts "on the roadmap" as a score has converted a requirement into a hope, and the hope will be revisited during the contract term at the buyer’s expense.</w:t>
      </w:r>
    </w:p>
    <w:p>
      <w:pPr>
        <w:spacing w:after="120" w:before="0" w:line="276"/>
      </w:pPr>
      <w:r>
        <w:rPr>
          <w:b w:val="false"/>
          <w:bCs w:val="false"/>
          <w:i w:val="false"/>
          <w:iCs w:val="false"/>
          <w:color w:val="1B1A18"/>
          <w:sz w:val="20"/>
          <w:szCs w:val="20"/>
        </w:rPr>
        <w:t xml:space="preserve">On weighting, one observation rather than a formula: the items in section 4 are not of equal consequence. Record, enforcement point and substitution govern what the institution can prove, prevent and escape respectively, and a supplier that fails all three is unlikely to be rescued by strength elsewhere. Whether that becomes a weighting, a threshold, or a gate is a decision for your own evaluation rules, which in the public sector will constrain it.</w:t>
      </w:r>
    </w:p>
    <w:p>
      <w:pPr>
        <w:pStyle w:val="Heading1"/>
        <w:spacing w:after="130" w:before="300"/>
      </w:pPr>
      <w:r>
        <w:rPr>
          <w:b/>
          <w:bCs/>
          <w:color w:val="33302B"/>
          <w:sz w:val="29"/>
          <w:szCs w:val="29"/>
        </w:rPr>
        <w:t xml:space="preserve">6 · Four traps, and the phrases that signal them</w:t>
      </w:r>
    </w:p>
    <w:p>
      <w:pPr>
        <w:spacing w:after="140" w:line="276"/>
      </w:pPr>
      <w:r>
        <w:rPr>
          <w:i/>
          <w:iCs/>
          <w:color w:val="6E6A62"/>
          <w:sz w:val="20"/>
          <w:szCs w:val="20"/>
        </w:rPr>
        <w:t xml:space="preserve">None of these phrases is dishonest, and several describe genuine engineering choices. Each is an invitation to ask one specific follow-up question rather than a reason to disqualify.</w:t>
      </w:r>
    </w:p>
    <w:p>
      <w:pPr>
        <w:spacing w:after="110"/>
      </w:pP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2400"/>
        <w:gridCol w:w="3400"/>
        <w:gridCol w:w="4280"/>
      </w:tblGrid>
      <w:tr>
        <w:trPr>
          <w:tblHeader/>
        </w:trPr>
        <w:tc>
          <w:tcPr>
            <w:tcW w:type="dxa" w:w="24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Trap</w:t>
            </w:r>
          </w:p>
        </w:tc>
        <w:tc>
          <w:tcPr>
            <w:tcW w:type="dxa" w:w="34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What you will hear</w:t>
            </w:r>
          </w:p>
        </w:tc>
        <w:tc>
          <w:tcPr>
            <w:tcW w:type="dxa" w:w="428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The follow-up</w:t>
            </w:r>
          </w:p>
        </w:tc>
      </w:tr>
      <w:tr>
        <w:tc>
          <w:tcPr>
            <w:tcW w:type="dxa" w:w="24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Demo cliff</w:t>
            </w:r>
          </w:p>
        </w:tc>
        <w:tc>
          <w:tcPr>
            <w:tcW w:type="dxa" w:w="34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An evaluation structured around capability, with governance deferred to a later stage.</w:t>
            </w:r>
          </w:p>
        </w:tc>
        <w:tc>
          <w:tcPr>
            <w:tcW w:type="dxa" w:w="42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Move section 4 earlier. If that is resisted on grounds of effort, note that the effort is the assessment.</w:t>
            </w:r>
          </w:p>
        </w:tc>
      </w:tr>
      <w:tr>
        <w:tc>
          <w:tcPr>
            <w:tcW w:type="dxa" w:w="24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Pricing opacity</w:t>
            </w:r>
          </w:p>
        </w:tc>
        <w:tc>
          <w:tcPr>
            <w:tcW w:type="dxa" w:w="34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"Not meaningfully attributable"; "shared inference capacity"; fair-use allowances with no per-action visibility.</w:t>
            </w:r>
          </w:p>
        </w:tc>
        <w:tc>
          <w:tcPr>
            <w:tcW w:type="dxa" w:w="42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Ask what the platform itself knows about the cost of one action. Inability to attribute cost is evidence about the architecture, and the same absent record hides exposure per action.</w:t>
            </w:r>
          </w:p>
        </w:tc>
      </w:tr>
      <w:tr>
        <w:tc>
          <w:tcPr>
            <w:tcW w:type="dxa" w:w="24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Customisation</w:t>
            </w:r>
          </w:p>
        </w:tc>
        <w:tc>
          <w:tcPr>
            <w:tcW w:type="dxa" w:w="34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"We can absolutely do that"; "customer-specific enablement"; a professional-services line that grows with scope.</w:t>
            </w:r>
          </w:p>
        </w:tc>
        <w:tc>
          <w:tcPr>
            <w:tcW w:type="dxa" w:w="42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Ask where the customisation lives — as configuration within the product, or as a branch you fund for the life of the agreement. A platform that forks per customer is a consultancy with a repository.</w:t>
            </w:r>
          </w:p>
        </w:tc>
      </w:tr>
      <w:tr>
        <w:tc>
          <w:tcPr>
            <w:tcW w:type="dxa" w:w="24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Compliance feature</w:t>
            </w:r>
          </w:p>
        </w:tc>
        <w:tc>
          <w:tcPr>
            <w:tcW w:type="dxa" w:w="34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"Fully auditable"; "certified"; a permissions matrix presented as isolation.</w:t>
            </w:r>
          </w:p>
        </w:tc>
        <w:tc>
          <w:tcPr>
            <w:tcW w:type="dxa" w:w="42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Ask what a tenant administrator cannot do, and whether the answer survives the customisation just offered. A matrix is a feature; a floor is an architecture.</w:t>
            </w:r>
          </w:p>
        </w:tc>
      </w:tr>
    </w:tbl>
    <w:p>
      <w:pPr>
        <w:spacing w:after="140"/>
      </w:pPr>
    </w:p>
    <w:p>
      <w:pPr>
        <w:spacing w:after="120" w:before="0" w:line="276"/>
      </w:pPr>
      <w:r>
        <w:rPr>
          <w:b w:val="false"/>
          <w:bCs w:val="false"/>
          <w:i w:val="false"/>
          <w:iCs w:val="false"/>
          <w:color w:val="1B1A18"/>
          <w:sz w:val="20"/>
          <w:szCs w:val="20"/>
        </w:rPr>
        <w:t xml:space="preserve">Two more phrases worth a follow-up, both encountered often enough to name. "Instantly reconfigurable, with no release cycle" is attractive and may mean that governing policy is supplied to a probabilistic component at runtime rather than enforced — ask where the policy is evaluated. And any adherence figure quoted for a rule that admits no exception — 99.7%, 99.9% — is the confession rather than the reassurance: a rule that admits no rate has no adherence rate, and the number describes the frequency of breach.</w:t>
      </w:r>
    </w:p>
    <w:p>
      <w:pPr>
        <w:pStyle w:val="Heading1"/>
        <w:spacing w:after="130" w:before="300"/>
      </w:pPr>
      <w:r>
        <w:rPr>
          <w:b/>
          <w:bCs/>
          <w:color w:val="33302B"/>
          <w:sz w:val="29"/>
          <w:szCs w:val="29"/>
        </w:rPr>
        <w:t xml:space="preserve">7 · Carrying it into the agreement</w:t>
      </w:r>
    </w:p>
    <w:p>
      <w:pPr>
        <w:spacing w:after="120" w:before="0" w:line="276"/>
      </w:pPr>
      <w:r>
        <w:rPr>
          <w:b w:val="false"/>
          <w:bCs w:val="false"/>
          <w:i w:val="false"/>
          <w:iCs w:val="false"/>
          <w:color w:val="1B1A18"/>
          <w:sz w:val="20"/>
          <w:szCs w:val="20"/>
        </w:rPr>
        <w:t xml:space="preserve">Concepts, not clause text. Wording must be yours, drafted by your own counsel, and fitted to your template and jurisdiction. The right-hand column is the part templates usually omit: what the supplier must be able to show.</w:t>
      </w:r>
    </w:p>
    <w:p>
      <w:pPr>
        <w:spacing w:after="110"/>
      </w:pPr>
    </w:p>
    <w:tbl>
      <w:tblPr>
        <w:tblW w:type="dxa" w:w="10080"/>
        <w:tblBorders>
          <w:top w:val="single" w:color="D6D2C9" w:sz="4"/>
          <w:left w:val="single" w:color="D6D2C9" w:sz="4"/>
          <w:bottom w:val="single" w:color="D6D2C9" w:sz="4"/>
          <w:right w:val="single" w:color="D6D2C9" w:sz="4"/>
          <w:insideH w:val="single" w:color="D6D2C9" w:sz="4"/>
          <w:insideV w:val="single" w:color="D6D2C9" w:sz="4"/>
        </w:tblBorders>
      </w:tblPr>
      <w:tblGrid>
        <w:gridCol w:w="2500"/>
        <w:gridCol w:w="3600"/>
        <w:gridCol w:w="3980"/>
      </w:tblGrid>
      <w:tr>
        <w:trPr>
          <w:tblHeader/>
        </w:trPr>
        <w:tc>
          <w:tcPr>
            <w:tcW w:type="dxa" w:w="25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Term</w:t>
            </w:r>
          </w:p>
        </w:tc>
        <w:tc>
          <w:tcPr>
            <w:tcW w:type="dxa" w:w="360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What it should require</w:t>
            </w:r>
          </w:p>
        </w:tc>
        <w:tc>
          <w:tcPr>
            <w:tcW w:type="dxa" w:w="3980"/>
            <w:shd w:fill="F4F2EE" w:color="auto" w:val="clear"/>
            <w:tcMar>
              <w:top w:type="dxa" w:w="60"/>
              <w:left w:type="dxa" w:w="90"/>
              <w:bottom w:type="dxa" w:w="60"/>
              <w:right w:type="dxa" w:w="90"/>
            </w:tcMar>
          </w:tcPr>
          <w:p>
            <w:pPr>
              <w:spacing w:after="0" w:line="250"/>
            </w:pPr>
            <w:r>
              <w:rPr>
                <w:b/>
                <w:bCs/>
                <w:i w:val="false"/>
                <w:iCs w:val="false"/>
                <w:color w:val="33302B"/>
                <w:sz w:val="18"/>
                <w:szCs w:val="18"/>
              </w:rPr>
              <w:t xml:space="preserve">The demonstration behind it</w:t>
            </w:r>
          </w:p>
        </w:tc>
      </w:tr>
      <w:tr>
        <w:tc>
          <w:tcPr>
            <w:tcW w:type="dxa" w:w="25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Demonstration right</w:t>
            </w:r>
          </w:p>
        </w:tc>
        <w:tc>
          <w:tcPr>
            <w:tcW w:type="dxa" w:w="36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A standing right, on reasonable notice, a defined number of times a year, to require any demonstration in section 4, without access to source code, model weights or training data.</w:t>
            </w:r>
          </w:p>
        </w:tc>
        <w:tc>
          <w:tcPr>
            <w:tcW w:type="dxa" w:w="3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right itself — and exercise it once in the first quarter, so both parties know it is real. An untested right decays into a comfort clause.</w:t>
            </w:r>
          </w:p>
        </w:tc>
      </w:tr>
      <w:tr>
        <w:tc>
          <w:tcPr>
            <w:tcW w:type="dxa" w:w="25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Evidence undertaking</w:t>
            </w:r>
          </w:p>
        </w:tc>
        <w:tc>
          <w:tcPr>
            <w:tcW w:type="dxa" w:w="36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Attribution generated at execution, including acting identity, authority relied upon and rule version in force, produced by query.</w:t>
            </w:r>
          </w:p>
        </w:tc>
        <w:tc>
          <w:tcPr>
            <w:tcW w:type="dxa" w:w="3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One transaction from at least a month earlier, attributed in full.</w:t>
            </w:r>
          </w:p>
        </w:tc>
      </w:tr>
      <w:tr>
        <w:tc>
          <w:tcPr>
            <w:tcW w:type="dxa" w:w="25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Independent verification</w:t>
            </w:r>
          </w:p>
        </w:tc>
        <w:tc>
          <w:tcPr>
            <w:tcW w:type="dxa" w:w="36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That the record can be verified by a party that does not operate the system.</w:t>
            </w:r>
          </w:p>
        </w:tc>
        <w:tc>
          <w:tcPr>
            <w:tcW w:type="dxa" w:w="3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verification method, exercised by the customer or its auditor.</w:t>
            </w:r>
          </w:p>
        </w:tc>
      </w:tr>
      <w:tr>
        <w:tc>
          <w:tcPr>
            <w:tcW w:type="dxa" w:w="25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Enforcement warranty</w:t>
            </w:r>
          </w:p>
        </w:tc>
        <w:tc>
          <w:tcPr>
            <w:tcW w:type="dxa" w:w="36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For each designated non-negotiable, a single enforcement point through which all subject work passes, not resting on instructions to a model.</w:t>
            </w:r>
          </w:p>
        </w:tc>
        <w:tc>
          <w:tcPr>
            <w:tcW w:type="dxa" w:w="3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An attempted breach refused, including from a privileged component.</w:t>
            </w:r>
          </w:p>
        </w:tc>
      </w:tr>
      <w:tr>
        <w:tc>
          <w:tcPr>
            <w:tcW w:type="dxa" w:w="25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Model change</w:t>
            </w:r>
          </w:p>
        </w:tc>
        <w:tc>
          <w:tcPr>
            <w:tcW w:type="dxa" w:w="36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supplier may change models; every warranty continues to hold across the change, with notice and a right to re-run demonstrations at the supplier’s cost.</w:t>
            </w:r>
          </w:p>
        </w:tc>
        <w:tc>
          <w:tcPr>
            <w:tcW w:type="dxa" w:w="3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Re-run on notice.</w:t>
            </w:r>
          </w:p>
        </w:tc>
      </w:tr>
      <w:tr>
        <w:tc>
          <w:tcPr>
            <w:tcW w:type="dxa" w:w="25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Dependency disclosure</w:t>
            </w:r>
          </w:p>
        </w:tc>
        <w:tc>
          <w:tcPr>
            <w:tcW w:type="dxa" w:w="36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A maintained list of every party whose availability, pricing or policy the service depends on, updated on change.</w:t>
            </w:r>
          </w:p>
        </w:tc>
        <w:tc>
          <w:tcPr>
            <w:tcW w:type="dxa" w:w="3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The list, with the date it last changed.</w:t>
            </w:r>
          </w:p>
        </w:tc>
      </w:tr>
      <w:tr>
        <w:tc>
          <w:tcPr>
            <w:tcW w:type="dxa" w:w="25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Substitution and exit</w:t>
            </w:r>
          </w:p>
        </w:tc>
        <w:tc>
          <w:tcPr>
            <w:tcW w:type="dxa" w:w="36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That any single dependency can be replaced within a defined period, and that on termination the customer receives its records in a form usable without the supplier.</w:t>
            </w:r>
          </w:p>
        </w:tc>
        <w:tc>
          <w:tcPr>
            <w:tcW w:type="dxa" w:w="3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A named replacement path, and an export tested during the term rather than at the end of it.</w:t>
            </w:r>
          </w:p>
        </w:tc>
      </w:tr>
      <w:tr>
        <w:tc>
          <w:tcPr>
            <w:tcW w:type="dxa" w:w="2500"/>
            <w:shd w:fill="FFFFFF" w:color="auto" w:val="clear"/>
            <w:tcMar>
              <w:top w:type="dxa" w:w="60"/>
              <w:left w:type="dxa" w:w="90"/>
              <w:bottom w:type="dxa" w:w="60"/>
              <w:right w:type="dxa" w:w="90"/>
            </w:tcMar>
          </w:tcPr>
          <w:p>
            <w:pPr>
              <w:spacing w:after="0" w:line="250"/>
            </w:pPr>
            <w:r>
              <w:rPr>
                <w:b/>
                <w:bCs/>
                <w:i w:val="false"/>
                <w:iCs w:val="false"/>
                <w:color w:val="1B1A18"/>
                <w:sz w:val="18"/>
                <w:szCs w:val="18"/>
              </w:rPr>
              <w:t xml:space="preserve">Cost transparency</w:t>
            </w:r>
          </w:p>
        </w:tc>
        <w:tc>
          <w:tcPr>
            <w:tcW w:type="dxa" w:w="360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Per-action cost and consumption records derived from execution, available to the customer.</w:t>
            </w:r>
          </w:p>
        </w:tc>
        <w:tc>
          <w:tcPr>
            <w:tcW w:type="dxa" w:w="3980"/>
            <w:shd w:fill="FFFFFF" w:color="auto" w:val="clear"/>
            <w:tcMar>
              <w:top w:type="dxa" w:w="60"/>
              <w:left w:type="dxa" w:w="90"/>
              <w:bottom w:type="dxa" w:w="60"/>
              <w:right w:type="dxa" w:w="90"/>
            </w:tcMar>
          </w:tcPr>
          <w:p>
            <w:pPr>
              <w:spacing w:after="0" w:line="250"/>
            </w:pPr>
            <w:r>
              <w:rPr>
                <w:b w:val="false"/>
                <w:bCs w:val="false"/>
                <w:i w:val="false"/>
                <w:iCs w:val="false"/>
                <w:color w:val="1B1A18"/>
                <w:sz w:val="18"/>
                <w:szCs w:val="18"/>
              </w:rPr>
              <w:t xml:space="preserve">One agent, one month, itemised.</w:t>
            </w:r>
          </w:p>
        </w:tc>
      </w:tr>
    </w:tbl>
    <w:p>
      <w:pPr>
        <w:spacing w:after="140"/>
      </w:pPr>
    </w:p>
    <w:p>
      <w:pPr>
        <w:spacing w:after="120" w:before="0" w:line="276"/>
      </w:pPr>
      <w:r>
        <w:rPr>
          <w:b w:val="false"/>
          <w:bCs w:val="false"/>
          <w:i w:val="false"/>
          <w:iCs w:val="false"/>
          <w:color w:val="1B1A18"/>
          <w:sz w:val="20"/>
          <w:szCs w:val="20"/>
        </w:rPr>
        <w:t xml:space="preserve">The most commonly missed term in that list is the last half of exit: records that remain inside the supplier were never the customer’s. It is also the cheapest to obtain at signature and the most expensive to discover at termination, which is the usual shape of the terms that matter.</w:t>
      </w:r>
    </w:p>
    <w:p>
      <w:pPr>
        <w:pStyle w:val="Heading1"/>
        <w:spacing w:after="130" w:before="300"/>
      </w:pPr>
      <w:r>
        <w:rPr>
          <w:b/>
          <w:bCs/>
          <w:color w:val="33302B"/>
          <w:sz w:val="29"/>
          <w:szCs w:val="29"/>
        </w:rPr>
        <w:t xml:space="preserve">8 · How to get this wrong</w:t>
      </w:r>
    </w:p>
    <w:p>
      <w:pPr>
        <w:pStyle w:val="ListParagraph"/>
        <w:numPr>
          <w:ilvl w:val="0"/>
          <w:numId w:val="2"/>
        </w:numPr>
        <w:spacing w:after="70" w:line="276"/>
      </w:pPr>
      <w:r>
        <w:rPr>
          <w:b/>
          <w:bCs/>
          <w:color w:val="1B1A18"/>
          <w:sz w:val="20"/>
          <w:szCs w:val="20"/>
        </w:rPr>
        <w:t xml:space="preserve">Issuing this as a questionnaire. </w:t>
      </w:r>
      <w:r>
        <w:rPr>
          <w:color w:val="1B1A18"/>
          <w:sz w:val="20"/>
          <w:szCs w:val="20"/>
        </w:rPr>
        <w:t xml:space="preserve">Every item is a demonstration. A written response tells you what the supplier believes, which is worth something and is not evidence.</w:t>
      </w:r>
    </w:p>
    <w:p>
      <w:pPr>
        <w:pStyle w:val="ListParagraph"/>
        <w:numPr>
          <w:ilvl w:val="0"/>
          <w:numId w:val="2"/>
        </w:numPr>
        <w:spacing w:after="70" w:line="276"/>
      </w:pPr>
      <w:r>
        <w:rPr>
          <w:b/>
          <w:bCs/>
          <w:color w:val="1B1A18"/>
          <w:sz w:val="20"/>
          <w:szCs w:val="20"/>
        </w:rPr>
        <w:t xml:space="preserve">Attaching the whole schedule to every procurement. </w:t>
      </w:r>
      <w:r>
        <w:rPr>
          <w:color w:val="1B1A18"/>
          <w:sz w:val="20"/>
          <w:szCs w:val="20"/>
        </w:rPr>
        <w:t xml:space="preserve">Ask the business which rules genuinely admit no exception. The list is always shorter than first claimed, and warranting a short list properly beats warranting a long one loosely.</w:t>
      </w:r>
    </w:p>
    <w:p>
      <w:pPr>
        <w:pStyle w:val="ListParagraph"/>
        <w:numPr>
          <w:ilvl w:val="0"/>
          <w:numId w:val="2"/>
        </w:numPr>
        <w:spacing w:after="70" w:line="276"/>
      </w:pPr>
      <w:r>
        <w:rPr>
          <w:b/>
          <w:bCs/>
          <w:color w:val="1B1A18"/>
          <w:sz w:val="20"/>
          <w:szCs w:val="20"/>
        </w:rPr>
        <w:t xml:space="preserve">Accepting an audit right in place of a demonstration right. </w:t>
      </w:r>
      <w:r>
        <w:rPr>
          <w:color w:val="1B1A18"/>
          <w:sz w:val="20"/>
          <w:szCs w:val="20"/>
        </w:rPr>
        <w:t xml:space="preserve">An audit right requires notice, scope negotiation, cost allocation and a confidentiality argument, so it is exercised approximately never.</w:t>
      </w:r>
    </w:p>
    <w:p>
      <w:pPr>
        <w:pStyle w:val="ListParagraph"/>
        <w:numPr>
          <w:ilvl w:val="0"/>
          <w:numId w:val="2"/>
        </w:numPr>
        <w:spacing w:after="70" w:line="276"/>
      </w:pPr>
      <w:r>
        <w:rPr>
          <w:b/>
          <w:bCs/>
          <w:color w:val="1B1A18"/>
          <w:sz w:val="20"/>
          <w:szCs w:val="20"/>
        </w:rPr>
        <w:t xml:space="preserve">Treating a failed item as disqualifying by itself. </w:t>
      </w:r>
      <w:r>
        <w:rPr>
          <w:color w:val="1B1A18"/>
          <w:sz w:val="20"/>
          <w:szCs w:val="20"/>
        </w:rPr>
        <w:t xml:space="preserve">Most suppliers will fail several, and a scoring system that eliminates everyone teaches the organisation to stop asking. Record the verdicts, price the gaps, and put the material ones into the agreement as obligations with dates.</w:t>
      </w:r>
    </w:p>
    <w:p>
      <w:pPr>
        <w:pStyle w:val="ListParagraph"/>
        <w:numPr>
          <w:ilvl w:val="0"/>
          <w:numId w:val="2"/>
        </w:numPr>
        <w:spacing w:after="70" w:line="276"/>
      </w:pPr>
      <w:r>
        <w:rPr>
          <w:b/>
          <w:bCs/>
          <w:color w:val="1B1A18"/>
          <w:sz w:val="20"/>
          <w:szCs w:val="20"/>
        </w:rPr>
        <w:t xml:space="preserve">Running the day without the second line. </w:t>
      </w:r>
      <w:r>
        <w:rPr>
          <w:color w:val="1B1A18"/>
          <w:sz w:val="20"/>
          <w:szCs w:val="20"/>
        </w:rPr>
        <w:t xml:space="preserve">The follow-up questions are where the value is, and they are not obvious to an evaluator without control experience.</w:t>
      </w:r>
    </w:p>
    <w:p>
      <w:pPr>
        <w:pStyle w:val="ListParagraph"/>
        <w:numPr>
          <w:ilvl w:val="0"/>
          <w:numId w:val="2"/>
        </w:numPr>
        <w:spacing w:after="70" w:line="276"/>
      </w:pPr>
      <w:r>
        <w:rPr>
          <w:b/>
          <w:bCs/>
          <w:color w:val="1B1A18"/>
          <w:sz w:val="20"/>
          <w:szCs w:val="20"/>
        </w:rPr>
        <w:t xml:space="preserve">Skipping the internal version. </w:t>
      </w:r>
      <w:r>
        <w:rPr>
          <w:color w:val="1B1A18"/>
          <w:sz w:val="20"/>
          <w:szCs w:val="20"/>
        </w:rPr>
        <w:t xml:space="preserve">Run section 4 against a system the institution already operates before running it against a supplier. It calibrates expectations, and it prevents a standard being demanded outside that is not met inside.</w:t>
      </w:r>
    </w:p>
    <w:p>
      <w:pPr>
        <w:pStyle w:val="Heading1"/>
        <w:spacing w:after="130" w:before="300"/>
      </w:pPr>
      <w:r>
        <w:rPr>
          <w:b/>
          <w:bCs/>
          <w:color w:val="33302B"/>
          <w:sz w:val="29"/>
          <w:szCs w:val="29"/>
        </w:rPr>
        <w:t xml:space="preserve">9 · Limits</w:t>
      </w:r>
    </w:p>
    <w:p>
      <w:pPr>
        <w:spacing w:after="120" w:before="0" w:line="276"/>
      </w:pPr>
      <w:r>
        <w:rPr>
          <w:b w:val="false"/>
          <w:bCs w:val="false"/>
          <w:i w:val="false"/>
          <w:iCs w:val="false"/>
          <w:color w:val="1B1A18"/>
          <w:sz w:val="20"/>
          <w:szCs w:val="20"/>
        </w:rPr>
        <w:t xml:space="preserve">This material addresses what a structure carries across its boundaries. It says nothing about model accuracy, discriminatory outcomes, dataset quality, fundamental-rights impact, information security certification, or financial standing, all of which need separate assessment. A supplier can pass every item in section 4 and still be the wrong choice.</w:t>
      </w:r>
    </w:p>
    <w:p>
      <w:pPr>
        <w:spacing w:after="120" w:before="0" w:line="276"/>
      </w:pPr>
      <w:r>
        <w:rPr>
          <w:b w:val="false"/>
          <w:bCs w:val="false"/>
          <w:i w:val="false"/>
          <w:iCs w:val="false"/>
          <w:color w:val="1B1A18"/>
          <w:sz w:val="20"/>
          <w:szCs w:val="20"/>
        </w:rPr>
        <w:t xml:space="preserve">Nothing here is legal advice, procurement advice, or a statement of any procedural rule. Public bodies operate under obligations this document does not describe. Everything above should be reviewed and rewritten by your own legal and procurement functions before use, and the observations about public procurement in section 3 are offered as context to be verified, not as a legal position.</w:t>
      </w:r>
    </w:p>
    <w:p>
      <w:pPr>
        <w:pBdr>
          <w:top w:val="single" w:color="D6D2C9" w:sz="4" w:space="8"/>
        </w:pBdr>
        <w:spacing w:after="100" w:before="360"/>
      </w:pPr>
    </w:p>
    <w:p>
      <w:pPr>
        <w:spacing w:after="60"/>
      </w:pPr>
      <w:r>
        <w:rPr>
          <w:b/>
          <w:bCs/>
          <w:color w:val="33302B"/>
          <w:sz w:val="17"/>
          <w:szCs w:val="17"/>
        </w:rPr>
        <w:t xml:space="preserve">Author’s note</w:t>
      </w:r>
    </w:p>
    <w:p>
      <w:pPr>
        <w:spacing w:after="0" w:line="250"/>
      </w:pPr>
      <w:r>
        <w:rPr>
          <w:color w:val="6E6A62"/>
          <w:sz w:val="17"/>
          <w:szCs w:val="17"/>
        </w:rPr>
        <w:t xml:space="preserve">The content of this document is the author’s. The framework, the six properties, the four axioms, the nine tests and the consequence records are drawn from </w:t>
      </w:r>
      <w:r>
        <w:rPr>
          <w:i/>
          <w:iCs/>
          <w:color w:val="6E6A62"/>
          <w:sz w:val="17"/>
          <w:szCs w:val="17"/>
        </w:rPr>
        <w:t xml:space="preserve">What the Structure Does Not Carry</w:t>
      </w:r>
      <w:r>
        <w:rPr>
          <w:color w:val="6E6A62"/>
          <w:sz w:val="17"/>
          <w:szCs w:val="17"/>
        </w:rPr>
        <w:t xml:space="preserve"> (Georg Zangl, 2026). The document was drafted with the assistance of Claude, an AI assistant made by Anthropic. The author has reviewed it and holds editorial responsibility for it.</w:t>
      </w:r>
    </w:p>
    <w:sectPr>
      <w:headerReference w:type="default" r:id="rId7"/>
      <w:footerReference w:type="default" r:id="rId8"/>
      <w:headerReference w:type="first" r:id="rId10"/>
      <w:footerReference w:type="first" r:id="rId11"/>
      <w:headerReference w:type="even" r:id="rId12"/>
      <w:footerReference w:type="even" r:id="rId13"/>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color w:val="6E6A62"/>
        <w:sz w:val="16"/>
        <w:szCs w:val="16"/>
      </w:rPr>
      <w:t xml:space="preserve">MZ-PRC-001 v1.0  •  procurement guidance — not legal advice; review with counsel before use  •  Page </w:t>
    </w:r>
    <w:r>
      <w:rPr>
        <w:color w:val="6E6A62"/>
        <w:sz w:val="16"/>
        <w:szCs w:val="16"/>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6E6A62"/>
        <w:sz w:val="16"/>
        <w:szCs w:val="16"/>
      </w:rPr>
      <w:t xml:space="preserve">MZ-PRC-001 · Procuring Agentic Systems · procurement guidance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680" w:hanging="20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1A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Georgia" w:cs="Georgia" w:eastAsia="Georgia" w:hAnsi="Georgia"/>
      <w:b/>
      <w:bCs/>
      <w:color w:val="33302B"/>
      <w:sz w:val="29"/>
      <w:szCs w:val="29"/>
    </w:rPr>
  </w:style>
  <w:style w:type="paragraph" w:styleId="Heading2">
    <w:name w:val="Heading 2"/>
    <w:basedOn w:val="Normal"/>
    <w:next w:val="Normal"/>
    <w:qFormat/>
    <w:rPr>
      <w:rFonts w:ascii="Georgia" w:cs="Georgia" w:eastAsia="Georgia" w:hAnsi="Georgia"/>
      <w:b/>
      <w:bCs/>
      <w:color w:val="33302B"/>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2026-08-20T09:48:21.724Z</dcterms:created>
  <dcterms:modified xsi:type="dcterms:W3CDTF">2026-08-20T09:48:21.742Z</dcterms:modified>
</cp:coreProperties>
</file>

<file path=docProps/custom.xml><?xml version="1.0" encoding="utf-8"?>
<Properties xmlns="http://schemas.openxmlformats.org/officeDocument/2006/custom-properties" xmlns:vt="http://schemas.openxmlformats.org/officeDocument/2006/docPropsVTypes"/>
</file>