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8000B" w14:textId="77777777" w:rsidR="0034586A" w:rsidRDefault="009049F9">
      <w:pPr>
        <w:spacing w:before="360" w:after="40"/>
        <w:jc w:val="center"/>
      </w:pPr>
      <w:r>
        <w:rPr>
          <w:b/>
          <w:bCs/>
          <w:caps/>
          <w:color w:val="33302B"/>
          <w:sz w:val="18"/>
          <w:szCs w:val="18"/>
        </w:rPr>
        <w:t>Tutorials · self-contained</w:t>
      </w:r>
    </w:p>
    <w:p w14:paraId="0C08000C" w14:textId="77777777" w:rsidR="0034586A" w:rsidRDefault="009049F9">
      <w:pPr>
        <w:spacing w:after="60"/>
        <w:jc w:val="center"/>
      </w:pPr>
      <w:r>
        <w:rPr>
          <w:b/>
          <w:bCs/>
          <w:sz w:val="38"/>
          <w:szCs w:val="38"/>
        </w:rPr>
        <w:t>Tutorial Worksheets</w:t>
      </w:r>
    </w:p>
    <w:p w14:paraId="0C08000D" w14:textId="77777777" w:rsidR="0034586A" w:rsidRDefault="009049F9">
      <w:pPr>
        <w:spacing w:after="150"/>
        <w:jc w:val="center"/>
      </w:pPr>
      <w:r>
        <w:rPr>
          <w:i/>
          <w:iCs/>
          <w:color w:val="6E6A62"/>
          <w:sz w:val="23"/>
          <w:szCs w:val="23"/>
        </w:rPr>
        <w:t>Fourteen weekly 60-minute tutorials, with facilitator notes and printed reference</w:t>
      </w:r>
    </w:p>
    <w:p w14:paraId="0C08000E" w14:textId="77777777" w:rsidR="0034586A" w:rsidRDefault="009049F9">
      <w:pPr>
        <w:spacing w:after="40"/>
        <w:jc w:val="center"/>
      </w:pPr>
      <w:r>
        <w:t>BSc — Foundations of the Agentic Enterprise</w:t>
      </w:r>
    </w:p>
    <w:p w14:paraId="0C08000F" w14:textId="7456CE92" w:rsidR="0034586A" w:rsidRDefault="009049F9">
      <w:pPr>
        <w:spacing w:after="220"/>
        <w:jc w:val="center"/>
      </w:pPr>
      <w:r>
        <w:rPr>
          <w:b/>
          <w:bCs/>
          <w:color w:val="33302B"/>
          <w:sz w:val="18"/>
          <w:szCs w:val="18"/>
        </w:rPr>
        <w:t>MZ-EDU-WS-BSC v</w:t>
      </w:r>
      <w:r w:rsidR="008B6C61">
        <w:rPr>
          <w:b/>
          <w:bCs/>
          <w:color w:val="33302B"/>
          <w:sz w:val="18"/>
          <w:szCs w:val="18"/>
          <w:lang w:val="de-AT"/>
        </w:rPr>
        <w:t>1</w:t>
      </w:r>
      <w:r>
        <w:rPr>
          <w:b/>
          <w:bCs/>
          <w:color w:val="33302B"/>
          <w:sz w:val="18"/>
          <w:szCs w:val="18"/>
        </w:rPr>
        <w:t xml:space="preserve">.0 · </w:t>
      </w:r>
      <w:r w:rsidR="008B6C61">
        <w:rPr>
          <w:b/>
          <w:bCs/>
          <w:color w:val="33302B"/>
          <w:sz w:val="18"/>
          <w:szCs w:val="18"/>
          <w:lang w:val="de-AT"/>
        </w:rPr>
        <w:t>28</w:t>
      </w:r>
      <w:r>
        <w:rPr>
          <w:b/>
          <w:bCs/>
          <w:color w:val="33302B"/>
          <w:sz w:val="18"/>
          <w:szCs w:val="18"/>
        </w:rPr>
        <w:t xml:space="preserve"> August 2026 · no book required in the room</w:t>
      </w:r>
    </w:p>
    <w:tbl>
      <w:tblPr>
        <w:tblW w:w="10080" w:type="dxa"/>
        <w:tblBorders>
          <w:top w:val="single" w:sz="4" w:space="0" w:color="D6D2C9"/>
          <w:left w:val="single" w:sz="12" w:space="0" w:color="8A8378"/>
          <w:bottom w:val="single" w:sz="4" w:space="0" w:color="D6D2C9"/>
          <w:right w:val="single" w:sz="4" w:space="0" w:color="D6D2C9"/>
        </w:tblBorders>
        <w:tblCellMar>
          <w:left w:w="10" w:type="dxa"/>
          <w:right w:w="10" w:type="dxa"/>
        </w:tblCellMar>
        <w:tblLook w:val="0000" w:firstRow="0" w:lastRow="0" w:firstColumn="0" w:lastColumn="0" w:noHBand="0" w:noVBand="0"/>
      </w:tblPr>
      <w:tblGrid>
        <w:gridCol w:w="10080"/>
      </w:tblGrid>
      <w:tr w:rsidR="0034586A" w14:paraId="0C080012" w14:textId="77777777">
        <w:tblPrEx>
          <w:tblCellMar>
            <w:top w:w="0" w:type="dxa"/>
            <w:bottom w:w="0" w:type="dxa"/>
          </w:tblCellMar>
        </w:tblPrEx>
        <w:tc>
          <w:tcPr>
            <w:tcW w:w="10080" w:type="dxa"/>
            <w:shd w:val="clear" w:color="auto" w:fill="F4F2EE"/>
            <w:tcMar>
              <w:top w:w="120" w:type="dxa"/>
              <w:left w:w="160" w:type="dxa"/>
              <w:bottom w:w="120" w:type="dxa"/>
              <w:right w:w="160" w:type="dxa"/>
            </w:tcMar>
          </w:tcPr>
          <w:p w14:paraId="0C080010" w14:textId="77777777" w:rsidR="0034586A" w:rsidRDefault="009049F9">
            <w:pPr>
              <w:spacing w:after="80" w:line="264" w:lineRule="auto"/>
            </w:pPr>
            <w:r>
              <w:rPr>
                <w:b/>
                <w:bCs/>
              </w:rPr>
              <w:t xml:space="preserve">Distribute above the line, keep below it. </w:t>
            </w:r>
            <w:r>
              <w:t>In every worksheet below, everything down to the facilitator notes is for the room. The notes are yours.</w:t>
            </w:r>
          </w:p>
          <w:p w14:paraId="0C080011" w14:textId="77777777" w:rsidR="0034586A" w:rsidRDefault="009049F9">
            <w:pPr>
              <w:spacing w:line="264" w:lineRule="auto"/>
            </w:pPr>
            <w:r>
              <w:rPr>
                <w:b/>
                <w:bCs/>
              </w:rPr>
              <w:t xml:space="preserve">This document is self-contained. </w:t>
            </w:r>
            <w:r>
              <w:t>The tests, the failures, the derivation and the supplied inputs it needs are printed here. Nothing requires the book to be open, and no chapter number appears except where students are being sent to read.</w:t>
            </w:r>
          </w:p>
        </w:tc>
      </w:tr>
    </w:tbl>
    <w:p w14:paraId="0C080013" w14:textId="77777777" w:rsidR="0034586A" w:rsidRDefault="009049F9">
      <w:pPr>
        <w:spacing w:before="60" w:after="120" w:line="276" w:lineRule="auto"/>
      </w:pPr>
      <w:r>
        <w:t>Kit: printed copies of a real architecture diagram (weeks 2 and 5), sticky notes, a board. That is all — the previous edition of these worksheets asked the tutor to have the book to hand for the tests at the end of each chapter, and those tests are now printed below.</w:t>
      </w:r>
    </w:p>
    <w:p w14:paraId="0C080014" w14:textId="77777777" w:rsidR="0034586A" w:rsidRDefault="009049F9">
      <w:pPr>
        <w:pStyle w:val="Heading1"/>
        <w:spacing w:before="300" w:after="130"/>
      </w:pPr>
      <w:r>
        <w:t>Printed reference · the six diagnostic tests</w:t>
      </w:r>
    </w:p>
    <w:p w14:paraId="0C080015" w14:textId="77777777" w:rsidR="0034586A" w:rsidRDefault="009049F9">
      <w:pPr>
        <w:spacing w:after="140" w:line="276" w:lineRule="auto"/>
      </w:pPr>
      <w:r>
        <w:rPr>
          <w:i/>
          <w:iCs/>
          <w:color w:val="6E6A62"/>
        </w:rPr>
        <w:t>The six property tests, printed here so that nothing in this document requires the book to be open in the room. Read them aloud as written — the wording is doing work.</w:t>
      </w:r>
    </w:p>
    <w:p w14:paraId="0C080016" w14:textId="77777777" w:rsidR="0034586A" w:rsidRDefault="0034586A">
      <w:pPr>
        <w:spacing w:after="100"/>
      </w:pPr>
    </w:p>
    <w:tbl>
      <w:tblPr>
        <w:tblW w:w="10080" w:type="dxa"/>
        <w:tblBorders>
          <w:top w:val="single" w:sz="4" w:space="0" w:color="D6D2C9"/>
          <w:left w:val="single" w:sz="4" w:space="0" w:color="D6D2C9"/>
          <w:bottom w:val="single" w:sz="4" w:space="0" w:color="D6D2C9"/>
          <w:right w:val="single" w:sz="4" w:space="0" w:color="D6D2C9"/>
          <w:insideH w:val="single" w:sz="4" w:space="0" w:color="D6D2C9"/>
          <w:insideV w:val="single" w:sz="4" w:space="0" w:color="D6D2C9"/>
        </w:tblBorders>
        <w:tblCellMar>
          <w:left w:w="10" w:type="dxa"/>
          <w:right w:w="10" w:type="dxa"/>
        </w:tblCellMar>
        <w:tblLook w:val="0000" w:firstRow="0" w:lastRow="0" w:firstColumn="0" w:lastColumn="0" w:noHBand="0" w:noVBand="0"/>
      </w:tblPr>
      <w:tblGrid>
        <w:gridCol w:w="2200"/>
        <w:gridCol w:w="7880"/>
      </w:tblGrid>
      <w:tr w:rsidR="0034586A" w14:paraId="0C080019" w14:textId="77777777">
        <w:tblPrEx>
          <w:tblCellMar>
            <w:top w:w="0" w:type="dxa"/>
            <w:bottom w:w="0" w:type="dxa"/>
          </w:tblCellMar>
        </w:tblPrEx>
        <w:trPr>
          <w:tblHeader/>
        </w:trPr>
        <w:tc>
          <w:tcPr>
            <w:tcW w:w="2200" w:type="dxa"/>
            <w:shd w:val="clear" w:color="auto" w:fill="F4F2EE"/>
            <w:tcMar>
              <w:top w:w="60" w:type="dxa"/>
              <w:left w:w="90" w:type="dxa"/>
              <w:bottom w:w="60" w:type="dxa"/>
              <w:right w:w="90" w:type="dxa"/>
            </w:tcMar>
          </w:tcPr>
          <w:p w14:paraId="0C080017" w14:textId="77777777" w:rsidR="0034586A" w:rsidRDefault="009049F9">
            <w:pPr>
              <w:spacing w:line="250" w:lineRule="auto"/>
            </w:pPr>
            <w:r>
              <w:rPr>
                <w:b/>
                <w:bCs/>
                <w:color w:val="33302B"/>
                <w:sz w:val="18"/>
                <w:szCs w:val="18"/>
              </w:rPr>
              <w:t>Property</w:t>
            </w:r>
          </w:p>
        </w:tc>
        <w:tc>
          <w:tcPr>
            <w:tcW w:w="7880" w:type="dxa"/>
            <w:shd w:val="clear" w:color="auto" w:fill="F4F2EE"/>
            <w:tcMar>
              <w:top w:w="60" w:type="dxa"/>
              <w:left w:w="90" w:type="dxa"/>
              <w:bottom w:w="60" w:type="dxa"/>
              <w:right w:w="90" w:type="dxa"/>
            </w:tcMar>
          </w:tcPr>
          <w:p w14:paraId="0C080018" w14:textId="77777777" w:rsidR="0034586A" w:rsidRDefault="009049F9">
            <w:pPr>
              <w:spacing w:line="250" w:lineRule="auto"/>
            </w:pPr>
            <w:r>
              <w:rPr>
                <w:b/>
                <w:bCs/>
                <w:color w:val="33302B"/>
                <w:sz w:val="18"/>
                <w:szCs w:val="18"/>
              </w:rPr>
              <w:t>The test, as asked in the room</w:t>
            </w:r>
          </w:p>
        </w:tc>
      </w:tr>
      <w:tr w:rsidR="0034586A" w14:paraId="0C08001C" w14:textId="77777777">
        <w:tblPrEx>
          <w:tblCellMar>
            <w:top w:w="0" w:type="dxa"/>
            <w:bottom w:w="0" w:type="dxa"/>
          </w:tblCellMar>
        </w:tblPrEx>
        <w:tc>
          <w:tcPr>
            <w:tcW w:w="2200" w:type="dxa"/>
            <w:shd w:val="clear" w:color="auto" w:fill="FFFFFF"/>
            <w:tcMar>
              <w:top w:w="60" w:type="dxa"/>
              <w:left w:w="90" w:type="dxa"/>
              <w:bottom w:w="60" w:type="dxa"/>
              <w:right w:w="90" w:type="dxa"/>
            </w:tcMar>
          </w:tcPr>
          <w:p w14:paraId="0C08001A" w14:textId="77777777" w:rsidR="0034586A" w:rsidRDefault="009049F9">
            <w:pPr>
              <w:spacing w:line="250" w:lineRule="auto"/>
            </w:pPr>
            <w:r>
              <w:rPr>
                <w:b/>
                <w:bCs/>
                <w:sz w:val="18"/>
                <w:szCs w:val="18"/>
              </w:rPr>
              <w:t>Context</w:t>
            </w:r>
          </w:p>
        </w:tc>
        <w:tc>
          <w:tcPr>
            <w:tcW w:w="7880" w:type="dxa"/>
            <w:shd w:val="clear" w:color="auto" w:fill="FFFFFF"/>
            <w:tcMar>
              <w:top w:w="60" w:type="dxa"/>
              <w:left w:w="90" w:type="dxa"/>
              <w:bottom w:w="60" w:type="dxa"/>
              <w:right w:w="90" w:type="dxa"/>
            </w:tcMar>
          </w:tcPr>
          <w:p w14:paraId="0C08001B" w14:textId="77777777" w:rsidR="0034586A" w:rsidRDefault="009049F9">
            <w:pPr>
              <w:spacing w:line="250" w:lineRule="auto"/>
            </w:pPr>
            <w:r>
              <w:rPr>
                <w:sz w:val="18"/>
                <w:szCs w:val="18"/>
              </w:rPr>
              <w:t>Pick any piece of work mid-journey and ask the receiving side not what the data says, but what it means and why it is constrained. If the answer requires a phone call, context is not in custody.</w:t>
            </w:r>
          </w:p>
        </w:tc>
      </w:tr>
      <w:tr w:rsidR="0034586A" w14:paraId="0C08001F" w14:textId="77777777">
        <w:tblPrEx>
          <w:tblCellMar>
            <w:top w:w="0" w:type="dxa"/>
            <w:bottom w:w="0" w:type="dxa"/>
          </w:tblCellMar>
        </w:tblPrEx>
        <w:tc>
          <w:tcPr>
            <w:tcW w:w="2200" w:type="dxa"/>
            <w:shd w:val="clear" w:color="auto" w:fill="FFFFFF"/>
            <w:tcMar>
              <w:top w:w="60" w:type="dxa"/>
              <w:left w:w="90" w:type="dxa"/>
              <w:bottom w:w="60" w:type="dxa"/>
              <w:right w:w="90" w:type="dxa"/>
            </w:tcMar>
          </w:tcPr>
          <w:p w14:paraId="0C08001D" w14:textId="77777777" w:rsidR="0034586A" w:rsidRDefault="009049F9">
            <w:pPr>
              <w:spacing w:line="250" w:lineRule="auto"/>
            </w:pPr>
            <w:r>
              <w:rPr>
                <w:b/>
                <w:bCs/>
                <w:sz w:val="18"/>
                <w:szCs w:val="18"/>
              </w:rPr>
              <w:t>Authority</w:t>
            </w:r>
          </w:p>
        </w:tc>
        <w:tc>
          <w:tcPr>
            <w:tcW w:w="7880" w:type="dxa"/>
            <w:shd w:val="clear" w:color="auto" w:fill="FFFFFF"/>
            <w:tcMar>
              <w:top w:w="60" w:type="dxa"/>
              <w:left w:w="90" w:type="dxa"/>
              <w:bottom w:w="60" w:type="dxa"/>
              <w:right w:w="90" w:type="dxa"/>
            </w:tcMar>
          </w:tcPr>
          <w:p w14:paraId="0C08001E" w14:textId="77777777" w:rsidR="0034586A" w:rsidRDefault="009049F9">
            <w:pPr>
              <w:spacing w:line="250" w:lineRule="auto"/>
            </w:pPr>
            <w:r>
              <w:rPr>
                <w:sz w:val="18"/>
                <w:szCs w:val="18"/>
              </w:rPr>
              <w:t>For any consequential action ask: who may decide this, and under which delegation? Then time how long the true answer takes and how many systems must be consulted to assemble it.</w:t>
            </w:r>
          </w:p>
        </w:tc>
      </w:tr>
      <w:tr w:rsidR="0034586A" w14:paraId="0C080022" w14:textId="77777777">
        <w:tblPrEx>
          <w:tblCellMar>
            <w:top w:w="0" w:type="dxa"/>
            <w:bottom w:w="0" w:type="dxa"/>
          </w:tblCellMar>
        </w:tblPrEx>
        <w:tc>
          <w:tcPr>
            <w:tcW w:w="2200" w:type="dxa"/>
            <w:shd w:val="clear" w:color="auto" w:fill="FFFFFF"/>
            <w:tcMar>
              <w:top w:w="60" w:type="dxa"/>
              <w:left w:w="90" w:type="dxa"/>
              <w:bottom w:w="60" w:type="dxa"/>
              <w:right w:w="90" w:type="dxa"/>
            </w:tcMar>
          </w:tcPr>
          <w:p w14:paraId="0C080020" w14:textId="77777777" w:rsidR="0034586A" w:rsidRDefault="009049F9">
            <w:pPr>
              <w:spacing w:line="250" w:lineRule="auto"/>
            </w:pPr>
            <w:r>
              <w:rPr>
                <w:b/>
                <w:bCs/>
                <w:sz w:val="18"/>
                <w:szCs w:val="18"/>
              </w:rPr>
              <w:t>Accountability</w:t>
            </w:r>
          </w:p>
        </w:tc>
        <w:tc>
          <w:tcPr>
            <w:tcW w:w="7880" w:type="dxa"/>
            <w:shd w:val="clear" w:color="auto" w:fill="FFFFFF"/>
            <w:tcMar>
              <w:top w:w="60" w:type="dxa"/>
              <w:left w:w="90" w:type="dxa"/>
              <w:bottom w:w="60" w:type="dxa"/>
              <w:right w:w="90" w:type="dxa"/>
            </w:tcMar>
          </w:tcPr>
          <w:p w14:paraId="0C080021" w14:textId="77777777" w:rsidR="0034586A" w:rsidRDefault="009049F9">
            <w:pPr>
              <w:spacing w:line="250" w:lineRule="auto"/>
            </w:pPr>
            <w:r>
              <w:rPr>
                <w:sz w:val="18"/>
                <w:szCs w:val="18"/>
              </w:rPr>
              <w:t>Take a consequential action from ninety days ago and produce its full attribution — who, under which right, with what result. If the answer is a project rather than a query, accountability is not in custody.</w:t>
            </w:r>
          </w:p>
        </w:tc>
      </w:tr>
      <w:tr w:rsidR="0034586A" w14:paraId="0C080025" w14:textId="77777777">
        <w:tblPrEx>
          <w:tblCellMar>
            <w:top w:w="0" w:type="dxa"/>
            <w:bottom w:w="0" w:type="dxa"/>
          </w:tblCellMar>
        </w:tblPrEx>
        <w:tc>
          <w:tcPr>
            <w:tcW w:w="2200" w:type="dxa"/>
            <w:shd w:val="clear" w:color="auto" w:fill="FFFFFF"/>
            <w:tcMar>
              <w:top w:w="60" w:type="dxa"/>
              <w:left w:w="90" w:type="dxa"/>
              <w:bottom w:w="60" w:type="dxa"/>
              <w:right w:w="90" w:type="dxa"/>
            </w:tcMar>
          </w:tcPr>
          <w:p w14:paraId="0C080023" w14:textId="77777777" w:rsidR="0034586A" w:rsidRDefault="009049F9">
            <w:pPr>
              <w:spacing w:line="250" w:lineRule="auto"/>
            </w:pPr>
            <w:r>
              <w:rPr>
                <w:b/>
                <w:bCs/>
                <w:sz w:val="18"/>
                <w:szCs w:val="18"/>
              </w:rPr>
              <w:t>Coordination</w:t>
            </w:r>
          </w:p>
        </w:tc>
        <w:tc>
          <w:tcPr>
            <w:tcW w:w="7880" w:type="dxa"/>
            <w:shd w:val="clear" w:color="auto" w:fill="FFFFFF"/>
            <w:tcMar>
              <w:top w:w="60" w:type="dxa"/>
              <w:left w:w="90" w:type="dxa"/>
              <w:bottom w:w="60" w:type="dxa"/>
              <w:right w:w="90" w:type="dxa"/>
            </w:tcMar>
          </w:tcPr>
          <w:p w14:paraId="0C080024" w14:textId="77777777" w:rsidR="0034586A" w:rsidRDefault="009049F9">
            <w:pPr>
              <w:spacing w:line="250" w:lineRule="auto"/>
            </w:pPr>
            <w:r>
              <w:rPr>
                <w:sz w:val="18"/>
                <w:szCs w:val="18"/>
              </w:rPr>
              <w:t>Choose one enterprise-level intent and trace where it is represented as an enforceable object rather than a document, along the path the work actually travels. If the trace comes up empty, the enterprise is integrated, not coordinated.</w:t>
            </w:r>
          </w:p>
        </w:tc>
      </w:tr>
      <w:tr w:rsidR="0034586A" w14:paraId="0C080028" w14:textId="77777777">
        <w:tblPrEx>
          <w:tblCellMar>
            <w:top w:w="0" w:type="dxa"/>
            <w:bottom w:w="0" w:type="dxa"/>
          </w:tblCellMar>
        </w:tblPrEx>
        <w:tc>
          <w:tcPr>
            <w:tcW w:w="2200" w:type="dxa"/>
            <w:shd w:val="clear" w:color="auto" w:fill="FFFFFF"/>
            <w:tcMar>
              <w:top w:w="60" w:type="dxa"/>
              <w:left w:w="90" w:type="dxa"/>
              <w:bottom w:w="60" w:type="dxa"/>
              <w:right w:w="90" w:type="dxa"/>
            </w:tcMar>
          </w:tcPr>
          <w:p w14:paraId="0C080026" w14:textId="77777777" w:rsidR="0034586A" w:rsidRDefault="009049F9">
            <w:pPr>
              <w:spacing w:line="250" w:lineRule="auto"/>
            </w:pPr>
            <w:r>
              <w:rPr>
                <w:b/>
                <w:bCs/>
                <w:sz w:val="18"/>
                <w:szCs w:val="18"/>
              </w:rPr>
              <w:t>Execution coherence</w:t>
            </w:r>
          </w:p>
        </w:tc>
        <w:tc>
          <w:tcPr>
            <w:tcW w:w="7880" w:type="dxa"/>
            <w:shd w:val="clear" w:color="auto" w:fill="FFFFFF"/>
            <w:tcMar>
              <w:top w:w="60" w:type="dxa"/>
              <w:left w:w="90" w:type="dxa"/>
              <w:bottom w:w="60" w:type="dxa"/>
              <w:right w:w="90" w:type="dxa"/>
            </w:tcMar>
          </w:tcPr>
          <w:p w14:paraId="0C080027" w14:textId="77777777" w:rsidR="0034586A" w:rsidRDefault="009049F9">
            <w:pPr>
              <w:spacing w:line="250" w:lineRule="auto"/>
            </w:pPr>
            <w:r>
              <w:rPr>
                <w:sz w:val="18"/>
                <w:szCs w:val="18"/>
              </w:rPr>
              <w:t>State one non-negotiable, then enter through three different doors — three systems, three channels, three interfaces — and check whether it holds identically at each. One exception disproves coherence; that is what non-negotiable means.</w:t>
            </w:r>
          </w:p>
        </w:tc>
      </w:tr>
      <w:tr w:rsidR="0034586A" w14:paraId="0C08002B" w14:textId="77777777">
        <w:tblPrEx>
          <w:tblCellMar>
            <w:top w:w="0" w:type="dxa"/>
            <w:bottom w:w="0" w:type="dxa"/>
          </w:tblCellMar>
        </w:tblPrEx>
        <w:tc>
          <w:tcPr>
            <w:tcW w:w="2200" w:type="dxa"/>
            <w:shd w:val="clear" w:color="auto" w:fill="FFFFFF"/>
            <w:tcMar>
              <w:top w:w="60" w:type="dxa"/>
              <w:left w:w="90" w:type="dxa"/>
              <w:bottom w:w="60" w:type="dxa"/>
              <w:right w:w="90" w:type="dxa"/>
            </w:tcMar>
          </w:tcPr>
          <w:p w14:paraId="0C080029" w14:textId="77777777" w:rsidR="0034586A" w:rsidRDefault="009049F9">
            <w:pPr>
              <w:spacing w:line="250" w:lineRule="auto"/>
            </w:pPr>
            <w:r>
              <w:rPr>
                <w:b/>
                <w:bCs/>
                <w:sz w:val="18"/>
                <w:szCs w:val="18"/>
              </w:rPr>
              <w:t>Institutional memory</w:t>
            </w:r>
          </w:p>
        </w:tc>
        <w:tc>
          <w:tcPr>
            <w:tcW w:w="7880" w:type="dxa"/>
            <w:shd w:val="clear" w:color="auto" w:fill="FFFFFF"/>
            <w:tcMar>
              <w:top w:w="60" w:type="dxa"/>
              <w:left w:w="90" w:type="dxa"/>
              <w:bottom w:w="60" w:type="dxa"/>
              <w:right w:w="90" w:type="dxa"/>
            </w:tcMar>
          </w:tcPr>
          <w:p w14:paraId="0C08002A" w14:textId="77777777" w:rsidR="0034586A" w:rsidRDefault="009049F9">
            <w:pPr>
              <w:spacing w:line="250" w:lineRule="auto"/>
            </w:pPr>
            <w:r>
              <w:rPr>
                <w:sz w:val="18"/>
                <w:szCs w:val="18"/>
              </w:rPr>
              <w:t>Identify a lesson the organisation paid heavily to learn more than five years ago and ask where it is written, who vouched for it, and what consults it today. If the answer is a person, the memory is not institutional — it is borrowed.</w:t>
            </w:r>
          </w:p>
        </w:tc>
      </w:tr>
    </w:tbl>
    <w:p w14:paraId="0C08002C" w14:textId="77777777" w:rsidR="0034586A" w:rsidRDefault="0034586A">
      <w:pPr>
        <w:spacing w:after="140"/>
      </w:pPr>
    </w:p>
    <w:p w14:paraId="0C08002D" w14:textId="77777777" w:rsidR="0034586A" w:rsidRDefault="009049F9">
      <w:pPr>
        <w:pStyle w:val="Heading1"/>
        <w:spacing w:before="300" w:after="130"/>
      </w:pPr>
      <w:r>
        <w:t>Printed reference · the characteristic failures</w:t>
      </w:r>
    </w:p>
    <w:p w14:paraId="0C08002E" w14:textId="77777777" w:rsidR="0034586A" w:rsidRDefault="009049F9">
      <w:pPr>
        <w:spacing w:after="140" w:line="276" w:lineRule="auto"/>
      </w:pPr>
      <w:r>
        <w:rPr>
          <w:i/>
          <w:iCs/>
          <w:color w:val="6E6A62"/>
        </w:rPr>
        <w:t>What a missing property looks like from the inside. A property cannot be seen; its absence can be recognised by the damage, and the damage is what students learn to spot.</w:t>
      </w:r>
    </w:p>
    <w:p w14:paraId="0C08002F" w14:textId="77777777" w:rsidR="0034586A" w:rsidRDefault="0034586A">
      <w:pPr>
        <w:spacing w:after="100"/>
      </w:pPr>
    </w:p>
    <w:tbl>
      <w:tblPr>
        <w:tblW w:w="10080" w:type="dxa"/>
        <w:tblBorders>
          <w:top w:val="single" w:sz="4" w:space="0" w:color="D6D2C9"/>
          <w:left w:val="single" w:sz="4" w:space="0" w:color="D6D2C9"/>
          <w:bottom w:val="single" w:sz="4" w:space="0" w:color="D6D2C9"/>
          <w:right w:val="single" w:sz="4" w:space="0" w:color="D6D2C9"/>
          <w:insideH w:val="single" w:sz="4" w:space="0" w:color="D6D2C9"/>
          <w:insideV w:val="single" w:sz="4" w:space="0" w:color="D6D2C9"/>
        </w:tblBorders>
        <w:tblCellMar>
          <w:left w:w="10" w:type="dxa"/>
          <w:right w:w="10" w:type="dxa"/>
        </w:tblCellMar>
        <w:tblLook w:val="0000" w:firstRow="0" w:lastRow="0" w:firstColumn="0" w:lastColumn="0" w:noHBand="0" w:noVBand="0"/>
      </w:tblPr>
      <w:tblGrid>
        <w:gridCol w:w="2200"/>
        <w:gridCol w:w="7880"/>
      </w:tblGrid>
      <w:tr w:rsidR="0034586A" w14:paraId="0C080032" w14:textId="77777777">
        <w:tblPrEx>
          <w:tblCellMar>
            <w:top w:w="0" w:type="dxa"/>
            <w:bottom w:w="0" w:type="dxa"/>
          </w:tblCellMar>
        </w:tblPrEx>
        <w:trPr>
          <w:tblHeader/>
        </w:trPr>
        <w:tc>
          <w:tcPr>
            <w:tcW w:w="2200" w:type="dxa"/>
            <w:shd w:val="clear" w:color="auto" w:fill="F4F2EE"/>
            <w:tcMar>
              <w:top w:w="60" w:type="dxa"/>
              <w:left w:w="90" w:type="dxa"/>
              <w:bottom w:w="60" w:type="dxa"/>
              <w:right w:w="90" w:type="dxa"/>
            </w:tcMar>
          </w:tcPr>
          <w:p w14:paraId="0C080030" w14:textId="77777777" w:rsidR="0034586A" w:rsidRDefault="009049F9">
            <w:pPr>
              <w:spacing w:line="250" w:lineRule="auto"/>
            </w:pPr>
            <w:r>
              <w:rPr>
                <w:b/>
                <w:bCs/>
                <w:color w:val="33302B"/>
                <w:sz w:val="18"/>
                <w:szCs w:val="18"/>
              </w:rPr>
              <w:lastRenderedPageBreak/>
              <w:t>Property</w:t>
            </w:r>
          </w:p>
        </w:tc>
        <w:tc>
          <w:tcPr>
            <w:tcW w:w="7880" w:type="dxa"/>
            <w:shd w:val="clear" w:color="auto" w:fill="F4F2EE"/>
            <w:tcMar>
              <w:top w:w="60" w:type="dxa"/>
              <w:left w:w="90" w:type="dxa"/>
              <w:bottom w:w="60" w:type="dxa"/>
              <w:right w:w="90" w:type="dxa"/>
            </w:tcMar>
          </w:tcPr>
          <w:p w14:paraId="0C080031" w14:textId="77777777" w:rsidR="0034586A" w:rsidRDefault="009049F9">
            <w:pPr>
              <w:spacing w:line="250" w:lineRule="auto"/>
            </w:pPr>
            <w:r>
              <w:rPr>
                <w:b/>
                <w:bCs/>
                <w:color w:val="33302B"/>
                <w:sz w:val="18"/>
                <w:szCs w:val="18"/>
              </w:rPr>
              <w:t>How its absence presents</w:t>
            </w:r>
          </w:p>
        </w:tc>
      </w:tr>
      <w:tr w:rsidR="0034586A" w14:paraId="0C080035" w14:textId="77777777">
        <w:tblPrEx>
          <w:tblCellMar>
            <w:top w:w="0" w:type="dxa"/>
            <w:bottom w:w="0" w:type="dxa"/>
          </w:tblCellMar>
        </w:tblPrEx>
        <w:tc>
          <w:tcPr>
            <w:tcW w:w="2200" w:type="dxa"/>
            <w:shd w:val="clear" w:color="auto" w:fill="FFFFFF"/>
            <w:tcMar>
              <w:top w:w="60" w:type="dxa"/>
              <w:left w:w="90" w:type="dxa"/>
              <w:bottom w:w="60" w:type="dxa"/>
              <w:right w:w="90" w:type="dxa"/>
            </w:tcMar>
          </w:tcPr>
          <w:p w14:paraId="0C080033" w14:textId="77777777" w:rsidR="0034586A" w:rsidRDefault="009049F9">
            <w:pPr>
              <w:spacing w:line="250" w:lineRule="auto"/>
            </w:pPr>
            <w:r>
              <w:rPr>
                <w:b/>
                <w:bCs/>
                <w:sz w:val="18"/>
                <w:szCs w:val="18"/>
              </w:rPr>
              <w:t>Context</w:t>
            </w:r>
          </w:p>
        </w:tc>
        <w:tc>
          <w:tcPr>
            <w:tcW w:w="7880" w:type="dxa"/>
            <w:shd w:val="clear" w:color="auto" w:fill="FFFFFF"/>
            <w:tcMar>
              <w:top w:w="60" w:type="dxa"/>
              <w:left w:w="90" w:type="dxa"/>
              <w:bottom w:w="60" w:type="dxa"/>
              <w:right w:w="90" w:type="dxa"/>
            </w:tcMar>
          </w:tcPr>
          <w:p w14:paraId="0C080034" w14:textId="77777777" w:rsidR="0034586A" w:rsidRDefault="009049F9">
            <w:pPr>
              <w:spacing w:line="250" w:lineRule="auto"/>
            </w:pPr>
            <w:r>
              <w:rPr>
                <w:sz w:val="18"/>
                <w:szCs w:val="18"/>
              </w:rPr>
              <w:t>The meaning error: data arrives intact and signifies the wrong thing. Invisible to data-quality work, because the payload is fine. Chronic form: the reconstruction tax — standing meetings, clarifying emails, a premium paid for long-tenured staff.</w:t>
            </w:r>
          </w:p>
        </w:tc>
      </w:tr>
      <w:tr w:rsidR="0034586A" w14:paraId="0C080038" w14:textId="77777777">
        <w:tblPrEx>
          <w:tblCellMar>
            <w:top w:w="0" w:type="dxa"/>
            <w:bottom w:w="0" w:type="dxa"/>
          </w:tblCellMar>
        </w:tblPrEx>
        <w:tc>
          <w:tcPr>
            <w:tcW w:w="2200" w:type="dxa"/>
            <w:shd w:val="clear" w:color="auto" w:fill="FFFFFF"/>
            <w:tcMar>
              <w:top w:w="60" w:type="dxa"/>
              <w:left w:w="90" w:type="dxa"/>
              <w:bottom w:w="60" w:type="dxa"/>
              <w:right w:w="90" w:type="dxa"/>
            </w:tcMar>
          </w:tcPr>
          <w:p w14:paraId="0C080036" w14:textId="77777777" w:rsidR="0034586A" w:rsidRDefault="009049F9">
            <w:pPr>
              <w:spacing w:line="250" w:lineRule="auto"/>
            </w:pPr>
            <w:r>
              <w:rPr>
                <w:b/>
                <w:bCs/>
                <w:sz w:val="18"/>
                <w:szCs w:val="18"/>
              </w:rPr>
              <w:t>Authority</w:t>
            </w:r>
          </w:p>
        </w:tc>
        <w:tc>
          <w:tcPr>
            <w:tcW w:w="7880" w:type="dxa"/>
            <w:shd w:val="clear" w:color="auto" w:fill="FFFFFF"/>
            <w:tcMar>
              <w:top w:w="60" w:type="dxa"/>
              <w:left w:w="90" w:type="dxa"/>
              <w:bottom w:w="60" w:type="dxa"/>
              <w:right w:w="90" w:type="dxa"/>
            </w:tcMar>
          </w:tcPr>
          <w:p w14:paraId="0C080037" w14:textId="77777777" w:rsidR="0034586A" w:rsidRDefault="009049F9">
            <w:pPr>
              <w:spacing w:line="250" w:lineRule="auto"/>
            </w:pPr>
            <w:r>
              <w:rPr>
                <w:sz w:val="18"/>
                <w:szCs w:val="18"/>
              </w:rPr>
              <w:t>Fragmentation: nobody can say who may decide something without consulting administration consoles. Audit becomes archaeology. The org chart diverges from operational reality.</w:t>
            </w:r>
          </w:p>
        </w:tc>
      </w:tr>
      <w:tr w:rsidR="0034586A" w14:paraId="0C08003B" w14:textId="77777777">
        <w:tblPrEx>
          <w:tblCellMar>
            <w:top w:w="0" w:type="dxa"/>
            <w:bottom w:w="0" w:type="dxa"/>
          </w:tblCellMar>
        </w:tblPrEx>
        <w:tc>
          <w:tcPr>
            <w:tcW w:w="2200" w:type="dxa"/>
            <w:shd w:val="clear" w:color="auto" w:fill="FFFFFF"/>
            <w:tcMar>
              <w:top w:w="60" w:type="dxa"/>
              <w:left w:w="90" w:type="dxa"/>
              <w:bottom w:w="60" w:type="dxa"/>
              <w:right w:w="90" w:type="dxa"/>
            </w:tcMar>
          </w:tcPr>
          <w:p w14:paraId="0C080039" w14:textId="77777777" w:rsidR="0034586A" w:rsidRDefault="009049F9">
            <w:pPr>
              <w:spacing w:line="250" w:lineRule="auto"/>
            </w:pPr>
            <w:r>
              <w:rPr>
                <w:b/>
                <w:bCs/>
                <w:sz w:val="18"/>
                <w:szCs w:val="18"/>
              </w:rPr>
              <w:t>Accountability</w:t>
            </w:r>
          </w:p>
        </w:tc>
        <w:tc>
          <w:tcPr>
            <w:tcW w:w="7880" w:type="dxa"/>
            <w:shd w:val="clear" w:color="auto" w:fill="FFFFFF"/>
            <w:tcMar>
              <w:top w:w="60" w:type="dxa"/>
              <w:left w:w="90" w:type="dxa"/>
              <w:bottom w:w="60" w:type="dxa"/>
              <w:right w:w="90" w:type="dxa"/>
            </w:tcMar>
          </w:tcPr>
          <w:p w14:paraId="0C08003A" w14:textId="77777777" w:rsidR="0034586A" w:rsidRDefault="009049F9">
            <w:pPr>
              <w:spacing w:line="250" w:lineRule="auto"/>
            </w:pPr>
            <w:r>
              <w:rPr>
                <w:sz w:val="18"/>
                <w:szCs w:val="18"/>
              </w:rPr>
              <w:t>Attribution by investigation. A working group convened to determine what happened. Socially: blame rather than accountability, and people who keep evidence of their innocence rather than records of their work.</w:t>
            </w:r>
          </w:p>
        </w:tc>
      </w:tr>
      <w:tr w:rsidR="0034586A" w14:paraId="0C08003E" w14:textId="77777777">
        <w:tblPrEx>
          <w:tblCellMar>
            <w:top w:w="0" w:type="dxa"/>
            <w:bottom w:w="0" w:type="dxa"/>
          </w:tblCellMar>
        </w:tblPrEx>
        <w:tc>
          <w:tcPr>
            <w:tcW w:w="2200" w:type="dxa"/>
            <w:shd w:val="clear" w:color="auto" w:fill="FFFFFF"/>
            <w:tcMar>
              <w:top w:w="60" w:type="dxa"/>
              <w:left w:w="90" w:type="dxa"/>
              <w:bottom w:w="60" w:type="dxa"/>
              <w:right w:w="90" w:type="dxa"/>
            </w:tcMar>
          </w:tcPr>
          <w:p w14:paraId="0C08003C" w14:textId="77777777" w:rsidR="0034586A" w:rsidRDefault="009049F9">
            <w:pPr>
              <w:spacing w:line="250" w:lineRule="auto"/>
            </w:pPr>
            <w:r>
              <w:rPr>
                <w:b/>
                <w:bCs/>
                <w:sz w:val="18"/>
                <w:szCs w:val="18"/>
              </w:rPr>
              <w:t>Coordination</w:t>
            </w:r>
          </w:p>
        </w:tc>
        <w:tc>
          <w:tcPr>
            <w:tcW w:w="7880" w:type="dxa"/>
            <w:shd w:val="clear" w:color="auto" w:fill="FFFFFF"/>
            <w:tcMar>
              <w:top w:w="60" w:type="dxa"/>
              <w:left w:w="90" w:type="dxa"/>
              <w:bottom w:w="60" w:type="dxa"/>
              <w:right w:w="90" w:type="dxa"/>
            </w:tcMar>
          </w:tcPr>
          <w:p w14:paraId="0C08003D" w14:textId="77777777" w:rsidR="0034586A" w:rsidRDefault="009049F9">
            <w:pPr>
              <w:spacing w:line="250" w:lineRule="auto"/>
            </w:pPr>
            <w:r>
              <w:rPr>
                <w:sz w:val="18"/>
                <w:szCs w:val="18"/>
              </w:rPr>
              <w:t>Pairwise treaties. Each pair of systems has a private integration understood by the project that built it and nobody since. Every pair coordinates; the enterprise coordinates nowhere.</w:t>
            </w:r>
          </w:p>
        </w:tc>
      </w:tr>
      <w:tr w:rsidR="0034586A" w14:paraId="0C080041" w14:textId="77777777">
        <w:tblPrEx>
          <w:tblCellMar>
            <w:top w:w="0" w:type="dxa"/>
            <w:bottom w:w="0" w:type="dxa"/>
          </w:tblCellMar>
        </w:tblPrEx>
        <w:tc>
          <w:tcPr>
            <w:tcW w:w="2200" w:type="dxa"/>
            <w:shd w:val="clear" w:color="auto" w:fill="FFFFFF"/>
            <w:tcMar>
              <w:top w:w="60" w:type="dxa"/>
              <w:left w:w="90" w:type="dxa"/>
              <w:bottom w:w="60" w:type="dxa"/>
              <w:right w:w="90" w:type="dxa"/>
            </w:tcMar>
          </w:tcPr>
          <w:p w14:paraId="0C08003F" w14:textId="77777777" w:rsidR="0034586A" w:rsidRDefault="009049F9">
            <w:pPr>
              <w:spacing w:line="250" w:lineRule="auto"/>
            </w:pPr>
            <w:r>
              <w:rPr>
                <w:b/>
                <w:bCs/>
                <w:sz w:val="18"/>
                <w:szCs w:val="18"/>
              </w:rPr>
              <w:t>Execution coherence</w:t>
            </w:r>
          </w:p>
        </w:tc>
        <w:tc>
          <w:tcPr>
            <w:tcW w:w="7880" w:type="dxa"/>
            <w:shd w:val="clear" w:color="auto" w:fill="FFFFFF"/>
            <w:tcMar>
              <w:top w:w="60" w:type="dxa"/>
              <w:left w:w="90" w:type="dxa"/>
              <w:bottom w:w="60" w:type="dxa"/>
              <w:right w:w="90" w:type="dxa"/>
            </w:tcMar>
          </w:tcPr>
          <w:p w14:paraId="0C080040" w14:textId="77777777" w:rsidR="0034586A" w:rsidRDefault="009049F9">
            <w:pPr>
              <w:spacing w:line="250" w:lineRule="auto"/>
            </w:pPr>
            <w:r>
              <w:rPr>
                <w:sz w:val="18"/>
                <w:szCs w:val="18"/>
              </w:rPr>
              <w:t>The federation of exceptions. Each system enforces what it can express and exempts what it cannot. Asked what it guarantees, the honest answer is: it depends which door you came in through.</w:t>
            </w:r>
          </w:p>
        </w:tc>
      </w:tr>
      <w:tr w:rsidR="0034586A" w14:paraId="0C080044" w14:textId="77777777">
        <w:tblPrEx>
          <w:tblCellMar>
            <w:top w:w="0" w:type="dxa"/>
            <w:bottom w:w="0" w:type="dxa"/>
          </w:tblCellMar>
        </w:tblPrEx>
        <w:tc>
          <w:tcPr>
            <w:tcW w:w="2200" w:type="dxa"/>
            <w:shd w:val="clear" w:color="auto" w:fill="FFFFFF"/>
            <w:tcMar>
              <w:top w:w="60" w:type="dxa"/>
              <w:left w:w="90" w:type="dxa"/>
              <w:bottom w:w="60" w:type="dxa"/>
              <w:right w:w="90" w:type="dxa"/>
            </w:tcMar>
          </w:tcPr>
          <w:p w14:paraId="0C080042" w14:textId="77777777" w:rsidR="0034586A" w:rsidRDefault="009049F9">
            <w:pPr>
              <w:spacing w:line="250" w:lineRule="auto"/>
            </w:pPr>
            <w:r>
              <w:rPr>
                <w:b/>
                <w:bCs/>
                <w:sz w:val="18"/>
                <w:szCs w:val="18"/>
              </w:rPr>
              <w:t>Institutional memory</w:t>
            </w:r>
          </w:p>
        </w:tc>
        <w:tc>
          <w:tcPr>
            <w:tcW w:w="7880" w:type="dxa"/>
            <w:shd w:val="clear" w:color="auto" w:fill="FFFFFF"/>
            <w:tcMar>
              <w:top w:w="60" w:type="dxa"/>
              <w:left w:w="90" w:type="dxa"/>
              <w:bottom w:w="60" w:type="dxa"/>
              <w:right w:w="90" w:type="dxa"/>
            </w:tcMar>
          </w:tcPr>
          <w:p w14:paraId="0C080043" w14:textId="77777777" w:rsidR="0034586A" w:rsidRDefault="009049F9">
            <w:pPr>
              <w:spacing w:line="250" w:lineRule="auto"/>
            </w:pPr>
            <w:r>
              <w:rPr>
                <w:sz w:val="18"/>
                <w:szCs w:val="18"/>
              </w:rPr>
              <w:t>Re-learning at full price what was already paid for, because the lesson sat in a retired system, a reorganised team, or a person who resigned.</w:t>
            </w:r>
          </w:p>
        </w:tc>
      </w:tr>
    </w:tbl>
    <w:p w14:paraId="0C080045" w14:textId="77777777" w:rsidR="0034586A" w:rsidRDefault="0034586A">
      <w:pPr>
        <w:spacing w:after="140"/>
      </w:pPr>
    </w:p>
    <w:p w14:paraId="0C080046" w14:textId="77777777" w:rsidR="0034586A" w:rsidRDefault="009049F9">
      <w:pPr>
        <w:pStyle w:val="Heading1"/>
        <w:spacing w:before="300" w:after="130"/>
      </w:pPr>
      <w:r>
        <w:t>The fourteen tutorials</w:t>
      </w:r>
    </w:p>
    <w:p w14:paraId="0C080047" w14:textId="77777777" w:rsidR="0034586A" w:rsidRDefault="009049F9">
      <w:pPr>
        <w:pStyle w:val="Heading2"/>
        <w:spacing w:before="220" w:after="90"/>
      </w:pPr>
      <w:r>
        <w:t>Week 1 · Tutorial</w:t>
      </w:r>
    </w:p>
    <w:p w14:paraId="0C080048" w14:textId="77777777" w:rsidR="0034586A" w:rsidRDefault="009049F9">
      <w:pPr>
        <w:spacing w:after="120" w:line="276" w:lineRule="auto"/>
      </w:pPr>
      <w:r>
        <w:t>Objective. See that an enterprise is more than its systems, and surface the invisible layer without naming it.</w:t>
      </w:r>
    </w:p>
    <w:p w14:paraId="0C080049" w14:textId="77777777" w:rsidR="0034586A" w:rsidRDefault="009049F9">
      <w:pPr>
        <w:spacing w:after="120" w:line="276" w:lineRule="auto"/>
      </w:pPr>
      <w:r>
        <w:t>Warm-up (5 min). Two minutes, individually: write down three things your university would lose if every experienced administrator resigned tonight and every system kept running perfectly.</w:t>
      </w:r>
    </w:p>
    <w:p w14:paraId="0C08004A" w14:textId="77777777" w:rsidR="0034586A" w:rsidRDefault="009049F9">
      <w:pPr>
        <w:spacing w:after="120" w:line="276" w:lineRule="auto"/>
      </w:pPr>
      <w:r>
        <w:t>Main activity (35 min). Collect answers on the board without sorting them. Then sort them, live, into columns without labelling the columns — meaning, permission, record, consistency, remembering. Only at the end put names on the columns.</w:t>
      </w:r>
    </w:p>
    <w:p w14:paraId="0C08004B" w14:textId="77777777" w:rsidR="0034586A" w:rsidRDefault="009049F9">
      <w:pPr>
        <w:spacing w:after="120" w:line="276" w:lineRule="auto"/>
      </w:pPr>
      <w:r>
        <w:t>Deliverable. A board photograph, and each student’s three items assigned to a column.</w:t>
      </w:r>
    </w:p>
    <w:p w14:paraId="0C08004C" w14:textId="77777777" w:rsidR="0034586A" w:rsidRDefault="009049F9">
      <w:pPr>
        <w:spacing w:after="120" w:line="276" w:lineRule="auto"/>
      </w:pPr>
      <w:r>
        <w:rPr>
          <w:color w:val="57534A"/>
        </w:rPr>
        <w:t>Facilitator notes (15 min debrief). Expected answers cluster hard: nobody would know why we do it that way (context), nobody would know who can approve exceptions (authority), nobody could explain last year’s decision (memory). Students rarely produce coordination or coherence unprompted — prompt with: would two departments give the same answer to the same question? Do not name the six properties. Week 6 does that, and the recognition is worth more than the vocabulary.</w:t>
      </w:r>
    </w:p>
    <w:p w14:paraId="0C08004D" w14:textId="77777777" w:rsidR="0034586A" w:rsidRDefault="009049F9">
      <w:pPr>
        <w:pStyle w:val="Heading2"/>
        <w:spacing w:before="220" w:after="90"/>
      </w:pPr>
      <w:r>
        <w:t>Week 2 · Tutorial</w:t>
      </w:r>
    </w:p>
    <w:p w14:paraId="0C08004E" w14:textId="77777777" w:rsidR="0034586A" w:rsidRDefault="009049F9">
      <w:pPr>
        <w:spacing w:after="120" w:line="276" w:lineRule="auto"/>
      </w:pPr>
      <w:r>
        <w:t>Objective. Find the layer the architecture diagram omits.</w:t>
      </w:r>
    </w:p>
    <w:p w14:paraId="0C08004F" w14:textId="77777777" w:rsidR="0034586A" w:rsidRDefault="009049F9">
      <w:pPr>
        <w:spacing w:after="120" w:line="276" w:lineRule="auto"/>
      </w:pPr>
      <w:r>
        <w:t>Warm-up (5 min). Hand out the printed diagram. One minute: count the boxes, count the arrows.</w:t>
      </w:r>
    </w:p>
    <w:p w14:paraId="0C080050" w14:textId="77777777" w:rsidR="0034586A" w:rsidRDefault="009049F9">
      <w:pPr>
        <w:spacing w:after="120" w:line="276" w:lineRule="auto"/>
      </w:pPr>
      <w:r>
        <w:t>Main activity (35 min). In pairs, annotate five arrows. For each: what does this arrow claim, and who makes it work when something unusual arrives? Annotate with a job title where one applies.</w:t>
      </w:r>
    </w:p>
    <w:p w14:paraId="0C080051" w14:textId="77777777" w:rsidR="0034586A" w:rsidRDefault="009049F9">
      <w:pPr>
        <w:spacing w:after="120" w:line="276" w:lineRule="auto"/>
      </w:pPr>
      <w:r>
        <w:t>Deliverable. An annotated diagram per pair, with at least two arrows carrying a job title.</w:t>
      </w:r>
    </w:p>
    <w:p w14:paraId="0C080052" w14:textId="77777777" w:rsidR="0034586A" w:rsidRDefault="009049F9">
      <w:pPr>
        <w:spacing w:after="120" w:line="276" w:lineRule="auto"/>
      </w:pPr>
      <w:r>
        <w:rPr>
          <w:color w:val="57534A"/>
        </w:rPr>
        <w:t>Facilitator notes (15 min debrief). The tutorial lands when a student writes a person onto an arrow. If nobody does, ask what happens when the data arrives and is wrong, and who notices. Do not let the class conclude the diagram is badly drawn — it is complete about what it depicts, and the omission is structural. That distinction keeps the room from dismissing forty years of practice.</w:t>
      </w:r>
    </w:p>
    <w:p w14:paraId="0C080053" w14:textId="77777777" w:rsidR="0034586A" w:rsidRDefault="009049F9">
      <w:pPr>
        <w:pStyle w:val="Heading2"/>
        <w:spacing w:before="220" w:after="90"/>
      </w:pPr>
      <w:r>
        <w:t>Week 3 · Tutorial</w:t>
      </w:r>
    </w:p>
    <w:p w14:paraId="0C080054" w14:textId="77777777" w:rsidR="0034586A" w:rsidRDefault="009049F9">
      <w:pPr>
        <w:spacing w:after="120" w:line="276" w:lineRule="auto"/>
      </w:pPr>
      <w:r>
        <w:t>Objective. See that five generations of integration moved data and never moved custody.</w:t>
      </w:r>
    </w:p>
    <w:p w14:paraId="0C080055" w14:textId="77777777" w:rsidR="0034586A" w:rsidRDefault="009049F9">
      <w:pPr>
        <w:spacing w:after="120" w:line="276" w:lineRule="auto"/>
      </w:pPr>
      <w:r>
        <w:lastRenderedPageBreak/>
        <w:t>Warm-up (5 min). Timeline on the board: file transfer, point-to-point, middleware, service buses, APIs and cloud platforms. One minute for students to add anything missing.</w:t>
      </w:r>
    </w:p>
    <w:p w14:paraId="0C080056" w14:textId="77777777" w:rsidR="0034586A" w:rsidRDefault="009049F9">
      <w:pPr>
        <w:spacing w:after="120" w:line="276" w:lineRule="auto"/>
      </w:pPr>
      <w:r>
        <w:t>Main activity (35 min). For each generation, two questions in turn: what did it move, and what did people still have to carry? Fill both columns.</w:t>
      </w:r>
    </w:p>
    <w:p w14:paraId="0C080057" w14:textId="77777777" w:rsidR="0034586A" w:rsidRDefault="009049F9">
      <w:pPr>
        <w:spacing w:after="120" w:line="276" w:lineRule="auto"/>
      </w:pPr>
      <w:r>
        <w:t>Deliverable. The completed two-column timeline.</w:t>
      </w:r>
    </w:p>
    <w:p w14:paraId="0C080058" w14:textId="77777777" w:rsidR="0034586A" w:rsidRDefault="009049F9">
      <w:pPr>
        <w:spacing w:after="120" w:line="276" w:lineRule="auto"/>
      </w:pPr>
      <w:r>
        <w:rPr>
          <w:color w:val="57534A"/>
        </w:rPr>
        <w:t>Facilitator notes (15 min debrief). The second column is identical every time, which is the point. Students will read this as progress toward a solution; hold the line — it is progress in transport with none in custody. Expect one student to claim modern APIs solve it; ask whether an API field carries why a value is constrained.</w:t>
      </w:r>
    </w:p>
    <w:p w14:paraId="0C080059" w14:textId="77777777" w:rsidR="0034586A" w:rsidRDefault="009049F9">
      <w:pPr>
        <w:pStyle w:val="Heading2"/>
        <w:spacing w:before="220" w:after="90"/>
      </w:pPr>
      <w:r>
        <w:t>Week 4 · Tutorial</w:t>
      </w:r>
    </w:p>
    <w:p w14:paraId="0C08005A" w14:textId="77777777" w:rsidR="0034586A" w:rsidRDefault="009049F9">
      <w:pPr>
        <w:spacing w:after="120" w:line="276" w:lineRule="auto"/>
      </w:pPr>
      <w:r>
        <w:t>Objective. Understand that the subsidy is withdrawn as a by-product, not as a decision.</w:t>
      </w:r>
    </w:p>
    <w:p w14:paraId="0C08005B" w14:textId="77777777" w:rsidR="0034586A" w:rsidRDefault="009049F9">
      <w:pPr>
        <w:spacing w:after="120" w:line="276" w:lineRule="auto"/>
      </w:pPr>
      <w:r>
        <w:t>Warm-up (5 min). One minute: name a task in any job you have held that was automated. Who used to do it, and where did they go?</w:t>
      </w:r>
    </w:p>
    <w:p w14:paraId="0C08005C" w14:textId="77777777" w:rsidR="0034586A" w:rsidRDefault="009049F9">
      <w:pPr>
        <w:spacing w:after="120" w:line="276" w:lineRule="auto"/>
      </w:pPr>
      <w:r>
        <w:t>Main activity (35 min). Present the payroll consolidation facts (supplied input A, below). Ask the class what technical failure would explain the outcome. Establish that none of sufficient size exists in the record. Then ask what left with the people.</w:t>
      </w:r>
    </w:p>
    <w:p w14:paraId="0C08005D" w14:textId="77777777" w:rsidR="0034586A" w:rsidRDefault="009049F9">
      <w:pPr>
        <w:spacing w:after="120" w:line="276" w:lineRule="auto"/>
      </w:pPr>
      <w:r>
        <w:t>Deliverable. A written answer, three sentences, to: nothing broke, so why did it fail?</w:t>
      </w:r>
    </w:p>
    <w:p w14:paraId="0C08005E" w14:textId="77777777" w:rsidR="0034586A" w:rsidRDefault="009049F9">
      <w:pPr>
        <w:spacing w:after="120" w:line="276" w:lineRule="auto"/>
      </w:pPr>
      <w:r>
        <w:rPr>
          <w:color w:val="57534A"/>
        </w:rPr>
        <w:t>Facilitator notes (15 min debrief). The room will reach for bad management or insufficient training. Both may be true and neither explains an outcome where the systems performed to specification. Push until someone says the knowledge was in the people and no system had been asked to hold it.</w:t>
      </w:r>
    </w:p>
    <w:p w14:paraId="0C08005F" w14:textId="77777777" w:rsidR="0034586A" w:rsidRDefault="009049F9">
      <w:pPr>
        <w:pStyle w:val="Heading2"/>
        <w:spacing w:before="220" w:after="90"/>
      </w:pPr>
      <w:r>
        <w:t>Week 5 · Tutorial</w:t>
      </w:r>
    </w:p>
    <w:p w14:paraId="0C080060" w14:textId="77777777" w:rsidR="0034586A" w:rsidRDefault="009049F9">
      <w:pPr>
        <w:spacing w:after="120" w:line="276" w:lineRule="auto"/>
      </w:pPr>
      <w:r>
        <w:t>Objective. Spot crossings in ordinary systems.</w:t>
      </w:r>
    </w:p>
    <w:p w14:paraId="0C080061" w14:textId="77777777" w:rsidR="0034586A" w:rsidRDefault="009049F9">
      <w:pPr>
        <w:spacing w:after="120" w:line="276" w:lineRule="auto"/>
      </w:pPr>
      <w:r>
        <w:t>Warm-up (5 min). Draw the four hundred on the board — three systems, one number, one lost condition (supplied input B).</w:t>
      </w:r>
    </w:p>
    <w:p w14:paraId="0C080062" w14:textId="77777777" w:rsidR="0034586A" w:rsidRDefault="009049F9">
      <w:pPr>
        <w:spacing w:after="120" w:line="276" w:lineRule="auto"/>
      </w:pPr>
      <w:r>
        <w:t>Main activity (35 min). In threes, take a system students use: enrolment, a bank app, a food delivery service. Map where work passes from one system to another, and for each boundary state what must arrive intact for the next step to be correct.</w:t>
      </w:r>
    </w:p>
    <w:p w14:paraId="0C080063" w14:textId="77777777" w:rsidR="0034586A" w:rsidRDefault="009049F9">
      <w:pPr>
        <w:spacing w:after="120" w:line="276" w:lineRule="auto"/>
      </w:pPr>
      <w:r>
        <w:t>Deliverable. A crossing map per group with at least three boundaries and their required payloads.</w:t>
      </w:r>
    </w:p>
    <w:p w14:paraId="0C080064" w14:textId="77777777" w:rsidR="0034586A" w:rsidRDefault="009049F9">
      <w:pPr>
        <w:spacing w:after="120" w:line="276" w:lineRule="auto"/>
      </w:pPr>
      <w:r>
        <w:rPr>
          <w:color w:val="57534A"/>
        </w:rPr>
        <w:t>Facilitator notes (15 min debrief). Groups will map integrations — pipes — rather than crossings. Correct it by asking, at each arrow: what had to survive, not what was transmitted. This distinction is examined in week 14 and misunderstood all term if it is not fixed here.</w:t>
      </w:r>
    </w:p>
    <w:p w14:paraId="0C080065" w14:textId="77777777" w:rsidR="0034586A" w:rsidRDefault="009049F9">
      <w:pPr>
        <w:pStyle w:val="Heading2"/>
        <w:spacing w:before="220" w:after="90"/>
      </w:pPr>
      <w:r>
        <w:t>Week 6 · Tutorial</w:t>
      </w:r>
    </w:p>
    <w:p w14:paraId="0C080066" w14:textId="77777777" w:rsidR="0034586A" w:rsidRDefault="009049F9">
      <w:pPr>
        <w:spacing w:after="120" w:line="276" w:lineRule="auto"/>
      </w:pPr>
      <w:r>
        <w:t>Objective. Recognise a missing context or authority property from its symptoms.</w:t>
      </w:r>
    </w:p>
    <w:p w14:paraId="0C080067" w14:textId="77777777" w:rsidR="0034586A" w:rsidRDefault="009049F9">
      <w:pPr>
        <w:spacing w:after="120" w:line="276" w:lineRule="auto"/>
      </w:pPr>
      <w:r>
        <w:t>Warm-up (5 min). Read the context test and the authority test from the printed reference. Thirty seconds each.</w:t>
      </w:r>
    </w:p>
    <w:p w14:paraId="0C080068" w14:textId="77777777" w:rsidR="0034586A" w:rsidRDefault="009049F9">
      <w:pPr>
        <w:spacing w:after="120" w:line="276" w:lineRule="auto"/>
      </w:pPr>
      <w:r>
        <w:t>Main activity (35 min). Six short symptom cards (supplied input C). In pairs, name the missing property and — the harder half — the crossing where it should have been carried.</w:t>
      </w:r>
    </w:p>
    <w:p w14:paraId="0C080069" w14:textId="77777777" w:rsidR="0034586A" w:rsidRDefault="009049F9">
      <w:pPr>
        <w:spacing w:after="120" w:line="276" w:lineRule="auto"/>
      </w:pPr>
      <w:r>
        <w:t>Deliverable. Six answers, each naming a property and a crossing.</w:t>
      </w:r>
    </w:p>
    <w:p w14:paraId="0C08006A" w14:textId="77777777" w:rsidR="0034586A" w:rsidRDefault="009049F9">
      <w:pPr>
        <w:spacing w:after="120" w:line="276" w:lineRule="auto"/>
      </w:pPr>
      <w:r>
        <w:rPr>
          <w:color w:val="57534A"/>
        </w:rPr>
        <w:t>Facilitator notes (15 min debrief). Students name properties easily and locate crossings badly. Mark the second half harder than the first. Expect context to be collapsed into data quality: the distinguishing fact is that the payload was fine, which is exactly why data-quality programmes never catch it.</w:t>
      </w:r>
    </w:p>
    <w:p w14:paraId="0C08006B" w14:textId="77777777" w:rsidR="0034586A" w:rsidRDefault="009049F9">
      <w:pPr>
        <w:pStyle w:val="Heading2"/>
        <w:spacing w:before="220" w:after="90"/>
      </w:pPr>
      <w:r>
        <w:t>Week 7 · Tutorial</w:t>
      </w:r>
    </w:p>
    <w:p w14:paraId="0C08006C" w14:textId="77777777" w:rsidR="0034586A" w:rsidRDefault="009049F9">
      <w:pPr>
        <w:spacing w:after="120" w:line="276" w:lineRule="auto"/>
      </w:pPr>
      <w:r>
        <w:lastRenderedPageBreak/>
        <w:t>Objective. Distinguish coordination from integration, and memory from storage.</w:t>
      </w:r>
    </w:p>
    <w:p w14:paraId="0C08006D" w14:textId="77777777" w:rsidR="0034586A" w:rsidRDefault="009049F9">
      <w:pPr>
        <w:spacing w:after="120" w:line="276" w:lineRule="auto"/>
      </w:pPr>
      <w:r>
        <w:t>Warm-up (5 min). Read the coordination test and the memory test aloud.</w:t>
      </w:r>
    </w:p>
    <w:p w14:paraId="0C08006E" w14:textId="77777777" w:rsidR="0034586A" w:rsidRDefault="009049F9">
      <w:pPr>
        <w:spacing w:after="120" w:line="276" w:lineRule="auto"/>
      </w:pPr>
      <w:r>
        <w:t>Main activity (35 min). Two arguments, ten minutes each. First: two systems exchange every record flawlessly and are not coordinated — how? Then the inverse: two systems exchange almost nothing and are perfectly coordinated — how? Second: a shared drive everyone can write to, consulted to make decisions. Is it memory?</w:t>
      </w:r>
    </w:p>
    <w:p w14:paraId="0C08006F" w14:textId="77777777" w:rsidR="0034586A" w:rsidRDefault="009049F9">
      <w:pPr>
        <w:spacing w:after="120" w:line="276" w:lineRule="auto"/>
      </w:pPr>
      <w:r>
        <w:t>Deliverable. One paragraph per student on the inverse case, which is the one that proves the distinction.</w:t>
      </w:r>
    </w:p>
    <w:p w14:paraId="0C080070" w14:textId="77777777" w:rsidR="0034586A" w:rsidRDefault="009049F9">
      <w:pPr>
        <w:spacing w:after="120" w:line="276" w:lineRule="auto"/>
      </w:pPr>
      <w:r>
        <w:rPr>
          <w:color w:val="57534A"/>
        </w:rPr>
        <w:t>Facilitator notes (15 min debrief). The inverse case does the teaching. If students only get the forward case they have learned that integration is imperfect, not that the two are orthogonal. On memory: the answer is that it is rumour with a retention policy — memory requires ceremony to write and provenance to trust.</w:t>
      </w:r>
    </w:p>
    <w:p w14:paraId="0C080071" w14:textId="77777777" w:rsidR="0034586A" w:rsidRDefault="009049F9">
      <w:pPr>
        <w:pStyle w:val="Heading2"/>
        <w:spacing w:before="220" w:after="90"/>
      </w:pPr>
      <w:r>
        <w:t>Week 8 · Tutorial</w:t>
      </w:r>
    </w:p>
    <w:p w14:paraId="0C080072" w14:textId="77777777" w:rsidR="0034586A" w:rsidRDefault="009049F9">
      <w:pPr>
        <w:spacing w:after="120" w:line="276" w:lineRule="auto"/>
      </w:pPr>
      <w:r>
        <w:t>Objective. Do the arithmetic of modality.</w:t>
      </w:r>
    </w:p>
    <w:p w14:paraId="0C080073" w14:textId="77777777" w:rsidR="0034586A" w:rsidRDefault="009049F9">
      <w:pPr>
        <w:spacing w:after="120" w:line="276" w:lineRule="auto"/>
      </w:pPr>
      <w:r>
        <w:t>Warm-up (5 min). On the board: a rule says never. A system complies 99.9% of the time. What is its compliance rate?</w:t>
      </w:r>
    </w:p>
    <w:p w14:paraId="0C080074" w14:textId="77777777" w:rsidR="0034586A" w:rsidRDefault="009049F9">
      <w:pPr>
        <w:spacing w:after="120" w:line="276" w:lineRule="auto"/>
      </w:pPr>
      <w:r>
        <w:t>Main activity (35 min). Work it out properly. Then in pairs, find three rules in university life that admit no exception, and three that are targets. Compare lists — disagreements are the useful part.</w:t>
      </w:r>
    </w:p>
    <w:p w14:paraId="0C080075" w14:textId="77777777" w:rsidR="0034586A" w:rsidRDefault="009049F9">
      <w:pPr>
        <w:spacing w:after="120" w:line="276" w:lineRule="auto"/>
      </w:pPr>
      <w:r>
        <w:t>Deliverable. Two lists of three, with one disputed item argued in writing.</w:t>
      </w:r>
    </w:p>
    <w:p w14:paraId="0C080076" w14:textId="77777777" w:rsidR="0034586A" w:rsidRDefault="009049F9">
      <w:pPr>
        <w:spacing w:after="120" w:line="276" w:lineRule="auto"/>
      </w:pPr>
      <w:r>
        <w:rPr>
          <w:color w:val="57534A"/>
        </w:rPr>
        <w:t>Facilitator notes (15 min debrief). The answer to the warm-up is that the question is malformed: a rule admitting no rate has no compliance rate, so 99.9% is a breach with a measured frequency. Students find fewer genuine non-negotiables than they expect, which is itself the lesson. Do not let the session become a complaint about AI reliability.</w:t>
      </w:r>
    </w:p>
    <w:p w14:paraId="0C080077" w14:textId="77777777" w:rsidR="0034586A" w:rsidRDefault="009049F9">
      <w:pPr>
        <w:pStyle w:val="Heading2"/>
        <w:spacing w:before="220" w:after="90"/>
      </w:pPr>
      <w:r>
        <w:t>Week 9 · Tutorial</w:t>
      </w:r>
    </w:p>
    <w:p w14:paraId="0C080078" w14:textId="77777777" w:rsidR="0034586A" w:rsidRDefault="009049F9">
      <w:pPr>
        <w:spacing w:after="120" w:line="276" w:lineRule="auto"/>
      </w:pPr>
      <w:r>
        <w:t>Objective. Partition a system into what must not vary and what must.</w:t>
      </w:r>
    </w:p>
    <w:p w14:paraId="0C080079" w14:textId="77777777" w:rsidR="0034586A" w:rsidRDefault="009049F9">
      <w:pPr>
        <w:spacing w:after="120" w:line="276" w:lineRule="auto"/>
      </w:pPr>
      <w:r>
        <w:t>Warm-up (5 min). One minute: name something about your course that changes every year and something that must never change.</w:t>
      </w:r>
    </w:p>
    <w:p w14:paraId="0C08007A" w14:textId="77777777" w:rsidR="0034586A" w:rsidRDefault="009049F9">
      <w:pPr>
        <w:spacing w:after="120" w:line="276" w:lineRule="auto"/>
      </w:pPr>
      <w:r>
        <w:t>Main activity (35 min). Take a supplied small system (input D). Sort ten features into invariant and variable. Then the hard part: one item is invariant for one group and variable for another. Decide where it lives and who pays.</w:t>
      </w:r>
    </w:p>
    <w:p w14:paraId="0C08007B" w14:textId="77777777" w:rsidR="0034586A" w:rsidRDefault="009049F9">
      <w:pPr>
        <w:spacing w:after="120" w:line="276" w:lineRule="auto"/>
      </w:pPr>
      <w:r>
        <w:t>Deliverable. A two-column partition with the awkward item argued.</w:t>
      </w:r>
    </w:p>
    <w:p w14:paraId="0C08007C" w14:textId="77777777" w:rsidR="0034586A" w:rsidRDefault="009049F9">
      <w:pPr>
        <w:spacing w:after="120" w:line="276" w:lineRule="auto"/>
      </w:pPr>
      <w:r>
        <w:rPr>
          <w:color w:val="57534A"/>
        </w:rPr>
        <w:t>Facilitator notes (15 min debrief). The awkward item is the exercise; do not let groups draw the line to avoid it. Introduce rows-versus-releases here: does this change require a deployment, and does it leave an evidence trail?</w:t>
      </w:r>
    </w:p>
    <w:p w14:paraId="0C08007D" w14:textId="77777777" w:rsidR="0034586A" w:rsidRDefault="009049F9">
      <w:pPr>
        <w:pStyle w:val="Heading2"/>
        <w:spacing w:before="220" w:after="90"/>
      </w:pPr>
      <w:r>
        <w:t>Week 10 · Tutorial</w:t>
      </w:r>
    </w:p>
    <w:p w14:paraId="0C08007E" w14:textId="77777777" w:rsidR="0034586A" w:rsidRDefault="009049F9">
      <w:pPr>
        <w:spacing w:after="120" w:line="276" w:lineRule="auto"/>
      </w:pPr>
      <w:r>
        <w:t>Objective. See what a participant needs that a tool does not.</w:t>
      </w:r>
    </w:p>
    <w:p w14:paraId="0C08007F" w14:textId="77777777" w:rsidR="0034586A" w:rsidRDefault="009049F9">
      <w:pPr>
        <w:spacing w:after="120" w:line="276" w:lineRule="auto"/>
      </w:pPr>
      <w:r>
        <w:t>Warm-up (5 min). Two columns on the board: a spreadsheet formula, a junior analyst. What does the institution give the second that it does not give the first?</w:t>
      </w:r>
    </w:p>
    <w:p w14:paraId="0C080080" w14:textId="77777777" w:rsidR="0034586A" w:rsidRDefault="009049F9">
      <w:pPr>
        <w:spacing w:after="120" w:line="276" w:lineRule="auto"/>
      </w:pPr>
      <w:r>
        <w:t>Main activity (35 min). Fill the columns. Then in pairs: an agent that can send emails on your behalf — which column is it in, and what would it need to be safely in the second?</w:t>
      </w:r>
    </w:p>
    <w:p w14:paraId="0C080081" w14:textId="77777777" w:rsidR="0034586A" w:rsidRDefault="009049F9">
      <w:pPr>
        <w:spacing w:after="120" w:line="276" w:lineRule="auto"/>
      </w:pPr>
      <w:r>
        <w:t>Deliverable. A list of what the institution must confer on a participant.</w:t>
      </w:r>
    </w:p>
    <w:p w14:paraId="0C080082" w14:textId="77777777" w:rsidR="0034586A" w:rsidRDefault="009049F9">
      <w:pPr>
        <w:spacing w:after="120" w:line="276" w:lineRule="auto"/>
      </w:pPr>
      <w:r>
        <w:rPr>
          <w:color w:val="57534A"/>
        </w:rPr>
        <w:t>Facilitator notes (15 min debrief). Answers should include an identity, conferred rights with limits, a record of what it did under them, and a way to revoke. Watch for identity conflated with authentication: knowing which agent it is does not establish what it may decide.</w:t>
      </w:r>
    </w:p>
    <w:p w14:paraId="0C080083" w14:textId="77777777" w:rsidR="0034586A" w:rsidRDefault="009049F9">
      <w:pPr>
        <w:pStyle w:val="Heading2"/>
        <w:spacing w:before="220" w:after="90"/>
      </w:pPr>
      <w:r>
        <w:t>Week 11 · Tutorial</w:t>
      </w:r>
    </w:p>
    <w:p w14:paraId="0C080084" w14:textId="77777777" w:rsidR="0034586A" w:rsidRDefault="009049F9">
      <w:pPr>
        <w:spacing w:after="120" w:line="276" w:lineRule="auto"/>
      </w:pPr>
      <w:r>
        <w:lastRenderedPageBreak/>
        <w:t>Objective. Locate where a rule is physically enforced, and disqualify a prompt.</w:t>
      </w:r>
    </w:p>
    <w:p w14:paraId="0C080085" w14:textId="77777777" w:rsidR="0034586A" w:rsidRDefault="009049F9">
      <w:pPr>
        <w:spacing w:after="120" w:line="276" w:lineRule="auto"/>
      </w:pPr>
      <w:r>
        <w:t>Warm-up (5 min). Read the coherence test aloud.</w:t>
      </w:r>
    </w:p>
    <w:p w14:paraId="0C080086" w14:textId="77777777" w:rsidR="0034586A" w:rsidRDefault="009049F9">
      <w:pPr>
        <w:spacing w:after="120" w:line="276" w:lineRule="auto"/>
      </w:pPr>
      <w:r>
        <w:t>Main activity (35 min). Give one rule and three candidate locations, one of which is a carefully written instruction to a model (input E). Groups argue for a location. Then the harder question: draw the path that reaches the action without passing your chosen point.</w:t>
      </w:r>
    </w:p>
    <w:p w14:paraId="0C080087" w14:textId="77777777" w:rsidR="0034586A" w:rsidRDefault="009049F9">
      <w:pPr>
        <w:spacing w:after="120" w:line="276" w:lineRule="auto"/>
      </w:pPr>
      <w:r>
        <w:t>Deliverable. A chosen enforcement point plus one bypass path, found or ruled out with reasons.</w:t>
      </w:r>
    </w:p>
    <w:p w14:paraId="0C080088" w14:textId="77777777" w:rsidR="0034586A" w:rsidRDefault="009049F9">
      <w:pPr>
        <w:spacing w:after="120" w:line="276" w:lineRule="auto"/>
      </w:pPr>
      <w:r>
        <w:rPr>
          <w:color w:val="57534A"/>
        </w:rPr>
        <w:t>Facilitator notes (15 min debrief). Someone will defend the prompt because it worked in every example tried in class. The reply is the composition from week 8 — a rule that says never against a component that holds usually — not a claim about prompt quality. Requiring the bypass path to be searched for, rather than asserted absent, is the skill.</w:t>
      </w:r>
    </w:p>
    <w:p w14:paraId="0C080089" w14:textId="77777777" w:rsidR="0034586A" w:rsidRDefault="009049F9">
      <w:pPr>
        <w:pStyle w:val="Heading2"/>
        <w:spacing w:before="220" w:after="90"/>
      </w:pPr>
      <w:r>
        <w:t>Week 12 · Tutorial</w:t>
      </w:r>
    </w:p>
    <w:p w14:paraId="0C08008A" w14:textId="77777777" w:rsidR="0034586A" w:rsidRDefault="009049F9">
      <w:pPr>
        <w:spacing w:after="120" w:line="276" w:lineRule="auto"/>
      </w:pPr>
      <w:r>
        <w:t>Objective. See memory as an attack surface once something acts on it.</w:t>
      </w:r>
    </w:p>
    <w:p w14:paraId="0C08008B" w14:textId="77777777" w:rsidR="0034586A" w:rsidRDefault="009049F9">
      <w:pPr>
        <w:spacing w:after="120" w:line="276" w:lineRule="auto"/>
      </w:pPr>
      <w:r>
        <w:t>Warm-up (5 min). Read the memory test aloud.</w:t>
      </w:r>
    </w:p>
    <w:p w14:paraId="0C08008C" w14:textId="77777777" w:rsidR="0034586A" w:rsidRDefault="009049F9">
      <w:pPr>
        <w:spacing w:after="120" w:line="276" w:lineRule="auto"/>
      </w:pPr>
      <w:r>
        <w:t>Main activity (35 min). Scenario: an agent answers staff questions by retrieving from a shared document store that anyone in the organisation can add to. In groups, get a wrong answer out of it without breaking anything. Then design the minimum fix.</w:t>
      </w:r>
    </w:p>
    <w:p w14:paraId="0C08008D" w14:textId="77777777" w:rsidR="0034586A" w:rsidRDefault="009049F9">
      <w:pPr>
        <w:spacing w:after="120" w:line="276" w:lineRule="auto"/>
      </w:pPr>
      <w:r>
        <w:t>Deliverable. One attack and one fix per group.</w:t>
      </w:r>
    </w:p>
    <w:p w14:paraId="0C08008E" w14:textId="77777777" w:rsidR="0034586A" w:rsidRDefault="009049F9">
      <w:pPr>
        <w:spacing w:after="120" w:line="276" w:lineRule="auto"/>
      </w:pPr>
      <w:r>
        <w:rPr>
          <w:color w:val="57534A"/>
        </w:rPr>
        <w:t>Facilitator notes (15 min debrief). Groups reliably find the attack in five minutes, which is the point. Fixes should converge on ceremony to write and a provenance class the reader can act on — not on content filtering, which is the answer to expect and to challenge.</w:t>
      </w:r>
    </w:p>
    <w:p w14:paraId="0C08008F" w14:textId="77777777" w:rsidR="0034586A" w:rsidRDefault="009049F9">
      <w:pPr>
        <w:pStyle w:val="Heading2"/>
        <w:spacing w:before="220" w:after="90"/>
      </w:pPr>
      <w:r>
        <w:t>Week 13 · Tutorial</w:t>
      </w:r>
    </w:p>
    <w:p w14:paraId="0C080090" w14:textId="77777777" w:rsidR="0034586A" w:rsidRDefault="009049F9">
      <w:pPr>
        <w:spacing w:after="120" w:line="276" w:lineRule="auto"/>
      </w:pPr>
      <w:r>
        <w:t>Objective. Build a dependency census and price the ability to say no.</w:t>
      </w:r>
    </w:p>
    <w:p w14:paraId="0C080091" w14:textId="77777777" w:rsidR="0034586A" w:rsidRDefault="009049F9">
      <w:pPr>
        <w:spacing w:after="120" w:line="276" w:lineRule="auto"/>
      </w:pPr>
      <w:r>
        <w:t>Warm-up (5 min). One minute: name every outside party that must keep working for your phone to work this morning.</w:t>
      </w:r>
    </w:p>
    <w:p w14:paraId="0C080092" w14:textId="77777777" w:rsidR="0034586A" w:rsidRDefault="009049F9">
      <w:pPr>
        <w:spacing w:after="120" w:line="276" w:lineRule="auto"/>
      </w:pPr>
      <w:r>
        <w:t>Main activity (35 min). Census for a consumer service, then the substitution question for each entry: what would it cost to say no to them? Finally: which entry could change what you are allowed to do without any outage at all?</w:t>
      </w:r>
    </w:p>
    <w:p w14:paraId="0C080093" w14:textId="77777777" w:rsidR="0034586A" w:rsidRDefault="009049F9">
      <w:pPr>
        <w:spacing w:after="120" w:line="276" w:lineRule="auto"/>
      </w:pPr>
      <w:r>
        <w:t>Deliverable. A census with a substitution cost per entry.</w:t>
      </w:r>
    </w:p>
    <w:p w14:paraId="0C080094" w14:textId="77777777" w:rsidR="0034586A" w:rsidRDefault="009049F9">
      <w:pPr>
        <w:spacing w:after="120" w:line="276" w:lineRule="auto"/>
      </w:pPr>
      <w:r>
        <w:rPr>
          <w:color w:val="57534A"/>
        </w:rPr>
        <w:t>Facilitator notes (15 min debrief). Students list only companies with contracts. Policy dependency — a provider changing what is permitted, with no outage and no price change — is the entry they miss and the one worth the session.</w:t>
      </w:r>
    </w:p>
    <w:p w14:paraId="0C080095" w14:textId="77777777" w:rsidR="0034586A" w:rsidRDefault="009049F9">
      <w:pPr>
        <w:pStyle w:val="Heading2"/>
        <w:spacing w:before="220" w:after="90"/>
      </w:pPr>
      <w:r>
        <w:t>Week 14 · Tutorial</w:t>
      </w:r>
    </w:p>
    <w:p w14:paraId="0C080096" w14:textId="77777777" w:rsidR="0034586A" w:rsidRDefault="009049F9">
      <w:pPr>
        <w:spacing w:after="120" w:line="276" w:lineRule="auto"/>
      </w:pPr>
      <w:r>
        <w:t>Objective. Run the single-clause specification, and close on the rule above the rules.</w:t>
      </w:r>
    </w:p>
    <w:p w14:paraId="0C080097" w14:textId="77777777" w:rsidR="0034586A" w:rsidRDefault="009049F9">
      <w:pPr>
        <w:spacing w:after="120" w:line="276" w:lineRule="auto"/>
      </w:pPr>
      <w:r>
        <w:t>Warm-up (5 min). On the board: show the crossing, and show what survives it.</w:t>
      </w:r>
    </w:p>
    <w:p w14:paraId="0C080098" w14:textId="77777777" w:rsidR="0034586A" w:rsidRDefault="009049F9">
      <w:pPr>
        <w:spacing w:after="120" w:line="276" w:lineRule="auto"/>
      </w:pPr>
      <w:r>
        <w:t>Main activity (35 min). Team project presentations. Each audience group must ask exactly one of the nine questions and record the verdict as demonstrated, not demonstrated, or not applicable.</w:t>
      </w:r>
    </w:p>
    <w:p w14:paraId="0C080099" w14:textId="77777777" w:rsidR="0034586A" w:rsidRDefault="009049F9">
      <w:pPr>
        <w:spacing w:after="120" w:line="276" w:lineRule="auto"/>
      </w:pPr>
      <w:r>
        <w:t>Deliverable. One recorded verdict per audience group, with what was observed.</w:t>
      </w:r>
    </w:p>
    <w:p w14:paraId="0C08009A" w14:textId="77777777" w:rsidR="0034586A" w:rsidRDefault="009049F9">
      <w:pPr>
        <w:spacing w:after="120" w:line="276" w:lineRule="auto"/>
      </w:pPr>
      <w:r>
        <w:rPr>
          <w:color w:val="57534A"/>
        </w:rPr>
        <w:t>Facilitator notes (15 min debrief). No partial verdicts and no verdict for an intention. Close the course on: every component must be replaceable, and no property ever may be. If one sentence leaves the room, that is the one.</w:t>
      </w:r>
    </w:p>
    <w:p w14:paraId="0C08009B" w14:textId="77777777" w:rsidR="0034586A" w:rsidRDefault="009049F9">
      <w:pPr>
        <w:pStyle w:val="Heading1"/>
        <w:spacing w:before="300" w:after="130"/>
      </w:pPr>
      <w:r>
        <w:t>Supplied inputs</w:t>
      </w:r>
    </w:p>
    <w:tbl>
      <w:tblPr>
        <w:tblW w:w="10080" w:type="dxa"/>
        <w:tblBorders>
          <w:top w:val="single" w:sz="4" w:space="0" w:color="D6D2C9"/>
          <w:left w:val="single" w:sz="12" w:space="0" w:color="8A8378"/>
          <w:bottom w:val="single" w:sz="4" w:space="0" w:color="D6D2C9"/>
          <w:right w:val="single" w:sz="4" w:space="0" w:color="D6D2C9"/>
        </w:tblBorders>
        <w:tblCellMar>
          <w:left w:w="10" w:type="dxa"/>
          <w:right w:w="10" w:type="dxa"/>
        </w:tblCellMar>
        <w:tblLook w:val="0000" w:firstRow="0" w:lastRow="0" w:firstColumn="0" w:lastColumn="0" w:noHBand="0" w:noVBand="0"/>
      </w:tblPr>
      <w:tblGrid>
        <w:gridCol w:w="10080"/>
      </w:tblGrid>
      <w:tr w:rsidR="0034586A" w14:paraId="0C08009D" w14:textId="77777777">
        <w:tblPrEx>
          <w:tblCellMar>
            <w:top w:w="0" w:type="dxa"/>
            <w:bottom w:w="0" w:type="dxa"/>
          </w:tblCellMar>
        </w:tblPrEx>
        <w:tc>
          <w:tcPr>
            <w:tcW w:w="10080" w:type="dxa"/>
            <w:shd w:val="clear" w:color="auto" w:fill="F4F2EE"/>
            <w:tcMar>
              <w:top w:w="120" w:type="dxa"/>
              <w:left w:w="160" w:type="dxa"/>
              <w:bottom w:w="120" w:type="dxa"/>
              <w:right w:w="160" w:type="dxa"/>
            </w:tcMar>
          </w:tcPr>
          <w:p w14:paraId="0C08009C" w14:textId="77777777" w:rsidR="0034586A" w:rsidRDefault="009049F9">
            <w:pPr>
              <w:spacing w:line="264" w:lineRule="auto"/>
            </w:pPr>
            <w:r>
              <w:rPr>
                <w:b/>
                <w:bCs/>
              </w:rPr>
              <w:lastRenderedPageBreak/>
              <w:t xml:space="preserve">Two kinds of input, and the difference matters. </w:t>
            </w:r>
            <w:r>
              <w:t xml:space="preserve">Inputs A and B are documented consequence records, traceable to official audits and investigation reports. Inputs C, D and E are </w:t>
            </w:r>
            <w:r>
              <w:rPr>
                <w:i/>
                <w:iCs/>
              </w:rPr>
              <w:t>constructed</w:t>
            </w:r>
            <w:r>
              <w:t xml:space="preserve"> teaching material — invented for the classroom and clearly marked as such. Never present a constructed input as a real incident, and never let a student cite one as evidence. The distinction between a sourced record and a plausible story is part of what this course teaches.</w:t>
            </w:r>
          </w:p>
        </w:tc>
      </w:tr>
    </w:tbl>
    <w:p w14:paraId="0C08009E" w14:textId="77777777" w:rsidR="0034586A" w:rsidRDefault="009049F9">
      <w:pPr>
        <w:spacing w:before="160" w:after="70"/>
      </w:pPr>
      <w:r>
        <w:rPr>
          <w:b/>
          <w:bCs/>
          <w:color w:val="57534A"/>
        </w:rPr>
        <w:t>Input A — the payroll consolidation (documented)</w:t>
      </w:r>
    </w:p>
    <w:p w14:paraId="0C08009F" w14:textId="77777777" w:rsidR="0034586A" w:rsidRDefault="009049F9">
      <w:pPr>
        <w:spacing w:after="120" w:line="276" w:lineRule="auto"/>
      </w:pPr>
      <w:r>
        <w:t>A national payroll consolidation centralised pay administration and introduced a new system. The pay advisers who held the interpretive knowledge of collective agreements, acting arrangements and entitlement edge cases were removed from the process. Hundreds of thousands of pay errors followed, remediation ran for years, and cost far exceeded the savings the programme was built to deliver. What is absent from the record is any technical failure large enough to explain the outcome. The tasks moved; the carri</w:t>
      </w:r>
      <w:r>
        <w:t>ers of meaning did not, and no system had been asked to hold what they held because nobody had noticed they were holding it.</w:t>
      </w:r>
    </w:p>
    <w:p w14:paraId="0C0800A0" w14:textId="77777777" w:rsidR="0034586A" w:rsidRDefault="009049F9">
      <w:pPr>
        <w:spacing w:after="120" w:line="276" w:lineRule="auto"/>
      </w:pPr>
      <w:r>
        <w:rPr>
          <w:i/>
          <w:iCs/>
          <w:color w:val="6E6A62"/>
        </w:rPr>
        <w:t>Source: Office of the Auditor General of Canada reports; parliamentary committee reporting.</w:t>
      </w:r>
    </w:p>
    <w:p w14:paraId="0C0800A1" w14:textId="77777777" w:rsidR="0034586A" w:rsidRDefault="009049F9">
      <w:pPr>
        <w:spacing w:before="160" w:after="70"/>
      </w:pPr>
      <w:r>
        <w:rPr>
          <w:b/>
          <w:bCs/>
          <w:color w:val="57534A"/>
        </w:rPr>
        <w:t>Input B — the four hundred (documented mechanism, illustrative figures)</w:t>
      </w:r>
    </w:p>
    <w:p w14:paraId="0C0800A2" w14:textId="77777777" w:rsidR="0034586A" w:rsidRDefault="009049F9">
      <w:pPr>
        <w:spacing w:after="120" w:line="276" w:lineRule="auto"/>
      </w:pPr>
      <w:r>
        <w:t>An approval limit of four hundred is a hard ceiling: above it, second authorisation is required. In one system this is a validation rule — testable, documentable, enforced in one place. Distribute the work: one process originates the request, a second evaluates it against a retrieved policy, a third submits it through an integration written years ago. The figure four hundred arrives as a number. The condition that made it a ceiling rather than a budget was never part of the payload, because no interface was</w:t>
      </w:r>
      <w:r>
        <w:t xml:space="preserve"> specified to carry it. An order is placed above the cap. Nothing malfunctioned, every value was accurate, and the obligation was satisfied nowhere — because it had been assigned to nothing.</w:t>
      </w:r>
    </w:p>
    <w:p w14:paraId="0C0800A3" w14:textId="77777777" w:rsidR="0034586A" w:rsidRDefault="009049F9">
      <w:pPr>
        <w:spacing w:before="160" w:after="70"/>
      </w:pPr>
      <w:r>
        <w:rPr>
          <w:b/>
          <w:bCs/>
          <w:color w:val="57534A"/>
        </w:rPr>
        <w:t>Input C — six symptom cards (constructed)</w:t>
      </w:r>
    </w:p>
    <w:p w14:paraId="0C0800A4" w14:textId="77777777" w:rsidR="0034586A" w:rsidRDefault="009049F9">
      <w:pPr>
        <w:pStyle w:val="ListParagraph"/>
        <w:numPr>
          <w:ilvl w:val="0"/>
          <w:numId w:val="2"/>
        </w:numPr>
        <w:spacing w:after="70" w:line="276" w:lineRule="auto"/>
      </w:pPr>
      <w:r>
        <w:t>A regional team applies a discount nobody authorised; every approval in the chain is valid and the discount policy was superseded two months earlier.</w:t>
      </w:r>
    </w:p>
    <w:p w14:paraId="0C0800A5" w14:textId="77777777" w:rsidR="0034586A" w:rsidRDefault="009049F9">
      <w:pPr>
        <w:pStyle w:val="ListParagraph"/>
        <w:numPr>
          <w:ilvl w:val="0"/>
          <w:numId w:val="2"/>
        </w:numPr>
        <w:spacing w:after="70" w:line="276" w:lineRule="auto"/>
      </w:pPr>
      <w:r>
        <w:t>An exception is escalated to a manager who has not held that authority since a reorganisation eighteen months ago. Nobody noticed.</w:t>
      </w:r>
    </w:p>
    <w:p w14:paraId="0C0800A6" w14:textId="77777777" w:rsidR="0034586A" w:rsidRDefault="009049F9">
      <w:pPr>
        <w:pStyle w:val="ListParagraph"/>
        <w:numPr>
          <w:ilvl w:val="0"/>
          <w:numId w:val="2"/>
        </w:numPr>
        <w:spacing w:after="70" w:line="276" w:lineRule="auto"/>
      </w:pPr>
      <w:r>
        <w:t>Two reports give different totals for the same quarter. Both are correct; nobody can say which basis the board saw.</w:t>
      </w:r>
    </w:p>
    <w:p w14:paraId="0C0800A7" w14:textId="77777777" w:rsidR="0034586A" w:rsidRDefault="009049F9">
      <w:pPr>
        <w:pStyle w:val="ListParagraph"/>
        <w:numPr>
          <w:ilvl w:val="0"/>
          <w:numId w:val="2"/>
        </w:numPr>
        <w:spacing w:after="70" w:line="276" w:lineRule="auto"/>
      </w:pPr>
      <w:r>
        <w:t>A refund is refused at a counter and granted through the app, on the same day, for the same customer.</w:t>
      </w:r>
    </w:p>
    <w:p w14:paraId="0C0800A8" w14:textId="77777777" w:rsidR="0034586A" w:rsidRDefault="009049F9">
      <w:pPr>
        <w:pStyle w:val="ListParagraph"/>
        <w:numPr>
          <w:ilvl w:val="0"/>
          <w:numId w:val="2"/>
        </w:numPr>
        <w:spacing w:after="70" w:line="276" w:lineRule="auto"/>
      </w:pPr>
      <w:r>
        <w:t>A working group is convened to establish who approved a shipment released four months ago.</w:t>
      </w:r>
    </w:p>
    <w:p w14:paraId="0C0800A9" w14:textId="77777777" w:rsidR="0034586A" w:rsidRDefault="009049F9">
      <w:pPr>
        <w:pStyle w:val="ListParagraph"/>
        <w:numPr>
          <w:ilvl w:val="0"/>
          <w:numId w:val="2"/>
        </w:numPr>
        <w:spacing w:after="70" w:line="276" w:lineRule="auto"/>
      </w:pPr>
      <w:r>
        <w:t>A team spends three weeks re-deriving why a threshold is set where it is. The person who set it left in 2019.</w:t>
      </w:r>
    </w:p>
    <w:p w14:paraId="0C0800AA" w14:textId="77777777" w:rsidR="0034586A" w:rsidRDefault="009049F9">
      <w:pPr>
        <w:spacing w:before="160" w:after="70"/>
      </w:pPr>
      <w:r>
        <w:rPr>
          <w:b/>
          <w:bCs/>
          <w:color w:val="57534A"/>
        </w:rPr>
        <w:t>Input D — a small system to partition (constructed)</w:t>
      </w:r>
    </w:p>
    <w:p w14:paraId="0C0800AB" w14:textId="77777777" w:rsidR="0034586A" w:rsidRDefault="009049F9">
      <w:pPr>
        <w:spacing w:after="120" w:line="276" w:lineRule="auto"/>
      </w:pPr>
      <w:r>
        <w:t>A student society’s event booking system, used by twelve societies on one campus. Ten features: room capacity limits; per-society budget ceilings; the approval chain for spending; the list of approved suppliers; whether alcohol is permitted; the refund window; who may cancel a booking; the branding on confirmation emails; the fields collected from attendees; and the retention period for attendee data. One of these is invariant for the university and variable per society; finding it is the exercise.</w:t>
      </w:r>
    </w:p>
    <w:p w14:paraId="0C0800AC" w14:textId="77777777" w:rsidR="0034586A" w:rsidRDefault="009049F9">
      <w:pPr>
        <w:spacing w:before="160" w:after="70"/>
      </w:pPr>
      <w:r>
        <w:rPr>
          <w:b/>
          <w:bCs/>
          <w:color w:val="57534A"/>
        </w:rPr>
        <w:t>Input E — one rule, three candidate locations (constructed)</w:t>
      </w:r>
    </w:p>
    <w:p w14:paraId="0C0800AD" w14:textId="77777777" w:rsidR="0034586A" w:rsidRDefault="009049F9">
      <w:pPr>
        <w:spacing w:after="120" w:line="276" w:lineRule="auto"/>
      </w:pPr>
      <w:r>
        <w:t>Rule: attendee contact details must never leave the university’s systems. Candidate locations: (i) a validation step in the booking application before any export runs; (ii) a clause in the supplier contract plus an annual attestation; (iii) a carefully written instruction to the assistant that drafts supplier emails, telling it never to include attendee details. Groups should reach (i), and should be able to say precisely why (iii) fails even when it works in every trial.</w:t>
      </w:r>
    </w:p>
    <w:sectPr w:rsidR="0034586A">
      <w:headerReference w:type="default" r:id="rId7"/>
      <w:footerReference w:type="default" r:id="rId8"/>
      <w:headerReference w:type="first" r:id="rId11"/>
      <w:footerReference w:type="first" r:id="rId12"/>
      <w:headerReference w:type="even" r:id="rId13"/>
      <w:footerReference w:type="even"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4D4A8" w14:textId="77777777" w:rsidR="009049F9" w:rsidRDefault="009049F9">
      <w:r>
        <w:separator/>
      </w:r>
    </w:p>
  </w:endnote>
  <w:endnote w:type="continuationSeparator" w:id="0">
    <w:p w14:paraId="55CF0C60" w14:textId="77777777" w:rsidR="009049F9" w:rsidRDefault="009049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800AF" w14:textId="1101A0EF" w:rsidR="0034586A" w:rsidRDefault="009049F9">
    <w:pPr>
      <w:jc w:val="center"/>
    </w:pPr>
    <w:r>
      <w:rPr>
        <w:color w:val="6E6A62"/>
        <w:sz w:val="16"/>
        <w:szCs w:val="16"/>
      </w:rPr>
      <w:t xml:space="preserve">MZ-EDU-WS-BSC v1.0  •  tutorial worksheets · self-contained — no book required in the room  •  Page </w:t>
    </w:r>
    <w:r>
      <w:rPr>
        <w:color w:val="6E6A62"/>
        <w:sz w:val="16"/>
        <w:szCs w:val="16"/>
      </w:rPr>
      <w:fldChar w:fldCharType="begin"/>
    </w:r>
    <w:r>
      <w:rPr>
        <w:color w:val="6E6A62"/>
        <w:sz w:val="16"/>
        <w:szCs w:val="16"/>
      </w:rPr>
      <w:instrText>PAGE</w:instrText>
    </w:r>
    <w:r>
      <w:rPr>
        <w:color w:val="6E6A62"/>
        <w:sz w:val="16"/>
        <w:szCs w:val="16"/>
      </w:rPr>
      <w:fldChar w:fldCharType="separate"/>
    </w:r>
    <w:r w:rsidR="008B6C61">
      <w:rPr>
        <w:noProof/>
        <w:color w:val="6E6A62"/>
        <w:sz w:val="16"/>
        <w:szCs w:val="16"/>
      </w:rPr>
      <w:t>1</w:t>
    </w:r>
    <w:r>
      <w:rPr>
        <w:color w:val="6E6A62"/>
        <w:sz w:val="16"/>
        <w:szCs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DE0EB" w14:textId="77777777" w:rsidR="009049F9" w:rsidRDefault="009049F9">
      <w:r>
        <w:separator/>
      </w:r>
    </w:p>
  </w:footnote>
  <w:footnote w:type="continuationSeparator" w:id="0">
    <w:p w14:paraId="091AE8C9" w14:textId="77777777" w:rsidR="009049F9" w:rsidRDefault="009049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800AE" w14:textId="77777777" w:rsidR="0034586A" w:rsidRDefault="009049F9">
    <w:pPr>
      <w:jc w:val="right"/>
    </w:pPr>
    <w:r>
      <w:rPr>
        <w:color w:val="6E6A62"/>
        <w:sz w:val="16"/>
        <w:szCs w:val="16"/>
      </w:rPr>
      <w:t>BSc tutorial worksheets · self-contained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66D84"/>
    <w:multiLevelType w:val="hybridMultilevel"/>
    <w:tmpl w:val="7862A72E"/>
    <w:lvl w:ilvl="0" w:tplc="FA9CBE62">
      <w:start w:val="1"/>
      <w:numFmt w:val="bullet"/>
      <w:lvlText w:val="●"/>
      <w:lvlJc w:val="left"/>
      <w:pPr>
        <w:ind w:left="720" w:hanging="360"/>
      </w:pPr>
    </w:lvl>
    <w:lvl w:ilvl="1" w:tplc="3B26ACC4">
      <w:start w:val="1"/>
      <w:numFmt w:val="bullet"/>
      <w:lvlText w:val="○"/>
      <w:lvlJc w:val="left"/>
      <w:pPr>
        <w:ind w:left="1440" w:hanging="360"/>
      </w:pPr>
    </w:lvl>
    <w:lvl w:ilvl="2" w:tplc="73E207D4">
      <w:start w:val="1"/>
      <w:numFmt w:val="bullet"/>
      <w:lvlText w:val="■"/>
      <w:lvlJc w:val="left"/>
      <w:pPr>
        <w:ind w:left="2160" w:hanging="360"/>
      </w:pPr>
    </w:lvl>
    <w:lvl w:ilvl="3" w:tplc="D2D4C1EC">
      <w:start w:val="1"/>
      <w:numFmt w:val="bullet"/>
      <w:lvlText w:val="●"/>
      <w:lvlJc w:val="left"/>
      <w:pPr>
        <w:ind w:left="2880" w:hanging="360"/>
      </w:pPr>
    </w:lvl>
    <w:lvl w:ilvl="4" w:tplc="FE1AD2A8">
      <w:start w:val="1"/>
      <w:numFmt w:val="bullet"/>
      <w:lvlText w:val="○"/>
      <w:lvlJc w:val="left"/>
      <w:pPr>
        <w:ind w:left="3600" w:hanging="360"/>
      </w:pPr>
    </w:lvl>
    <w:lvl w:ilvl="5" w:tplc="1E445EB2">
      <w:start w:val="1"/>
      <w:numFmt w:val="bullet"/>
      <w:lvlText w:val="■"/>
      <w:lvlJc w:val="left"/>
      <w:pPr>
        <w:ind w:left="4320" w:hanging="360"/>
      </w:pPr>
    </w:lvl>
    <w:lvl w:ilvl="6" w:tplc="5B042066">
      <w:start w:val="1"/>
      <w:numFmt w:val="bullet"/>
      <w:lvlText w:val="●"/>
      <w:lvlJc w:val="left"/>
      <w:pPr>
        <w:ind w:left="5040" w:hanging="360"/>
      </w:pPr>
    </w:lvl>
    <w:lvl w:ilvl="7" w:tplc="4D682574">
      <w:start w:val="1"/>
      <w:numFmt w:val="bullet"/>
      <w:lvlText w:val="●"/>
      <w:lvlJc w:val="left"/>
      <w:pPr>
        <w:ind w:left="5760" w:hanging="360"/>
      </w:pPr>
    </w:lvl>
    <w:lvl w:ilvl="8" w:tplc="59A6B084">
      <w:start w:val="1"/>
      <w:numFmt w:val="bullet"/>
      <w:lvlText w:val="●"/>
      <w:lvlJc w:val="left"/>
      <w:pPr>
        <w:ind w:left="6480" w:hanging="360"/>
      </w:pPr>
    </w:lvl>
  </w:abstractNum>
  <w:abstractNum w:abstractNumId="1" w15:restartNumberingAfterBreak="0">
    <w:nsid w:val="36D30C8C"/>
    <w:multiLevelType w:val="hybridMultilevel"/>
    <w:tmpl w:val="16CCF26E"/>
    <w:lvl w:ilvl="0" w:tplc="E8AA882A">
      <w:start w:val="1"/>
      <w:numFmt w:val="bullet"/>
      <w:lvlText w:val="•"/>
      <w:lvlJc w:val="left"/>
      <w:pPr>
        <w:ind w:left="340" w:hanging="200"/>
      </w:pPr>
    </w:lvl>
    <w:lvl w:ilvl="1" w:tplc="47F01524">
      <w:start w:val="1"/>
      <w:numFmt w:val="bullet"/>
      <w:lvlText w:val="–"/>
      <w:lvlJc w:val="left"/>
      <w:pPr>
        <w:ind w:left="680" w:hanging="200"/>
      </w:pPr>
    </w:lvl>
    <w:lvl w:ilvl="2" w:tplc="544EAB36">
      <w:numFmt w:val="decimal"/>
      <w:lvlText w:val=""/>
      <w:lvlJc w:val="left"/>
    </w:lvl>
    <w:lvl w:ilvl="3" w:tplc="CF12A596">
      <w:numFmt w:val="decimal"/>
      <w:lvlText w:val=""/>
      <w:lvlJc w:val="left"/>
    </w:lvl>
    <w:lvl w:ilvl="4" w:tplc="D7A67456">
      <w:numFmt w:val="decimal"/>
      <w:lvlText w:val=""/>
      <w:lvlJc w:val="left"/>
    </w:lvl>
    <w:lvl w:ilvl="5" w:tplc="AC3C2DDC">
      <w:numFmt w:val="decimal"/>
      <w:lvlText w:val=""/>
      <w:lvlJc w:val="left"/>
    </w:lvl>
    <w:lvl w:ilvl="6" w:tplc="D3DE8474">
      <w:numFmt w:val="decimal"/>
      <w:lvlText w:val=""/>
      <w:lvlJc w:val="left"/>
    </w:lvl>
    <w:lvl w:ilvl="7" w:tplc="EC52B6C2">
      <w:numFmt w:val="decimal"/>
      <w:lvlText w:val=""/>
      <w:lvlJc w:val="left"/>
    </w:lvl>
    <w:lvl w:ilvl="8" w:tplc="B7C6B7D2">
      <w:numFmt w:val="decimal"/>
      <w:lvlText w:val=""/>
      <w:lvlJc w:val="left"/>
    </w:lvl>
  </w:abstractNum>
  <w:abstractNum w:abstractNumId="2" w15:restartNumberingAfterBreak="0">
    <w:nsid w:val="3EDE1A3E"/>
    <w:multiLevelType w:val="hybridMultilevel"/>
    <w:tmpl w:val="F278AA6A"/>
    <w:lvl w:ilvl="0" w:tplc="14322EBA">
      <w:start w:val="1"/>
      <w:numFmt w:val="decimal"/>
      <w:lvlText w:val="%1."/>
      <w:lvlJc w:val="left"/>
      <w:pPr>
        <w:ind w:left="360" w:hanging="220"/>
      </w:pPr>
    </w:lvl>
    <w:lvl w:ilvl="1" w:tplc="1E3C3DBC">
      <w:numFmt w:val="decimal"/>
      <w:lvlText w:val=""/>
      <w:lvlJc w:val="left"/>
    </w:lvl>
    <w:lvl w:ilvl="2" w:tplc="EA601E38">
      <w:numFmt w:val="decimal"/>
      <w:lvlText w:val=""/>
      <w:lvlJc w:val="left"/>
    </w:lvl>
    <w:lvl w:ilvl="3" w:tplc="9280D528">
      <w:numFmt w:val="decimal"/>
      <w:lvlText w:val=""/>
      <w:lvlJc w:val="left"/>
    </w:lvl>
    <w:lvl w:ilvl="4" w:tplc="0B0E7128">
      <w:numFmt w:val="decimal"/>
      <w:lvlText w:val=""/>
      <w:lvlJc w:val="left"/>
    </w:lvl>
    <w:lvl w:ilvl="5" w:tplc="841CA42E">
      <w:numFmt w:val="decimal"/>
      <w:lvlText w:val=""/>
      <w:lvlJc w:val="left"/>
    </w:lvl>
    <w:lvl w:ilvl="6" w:tplc="FB9A0E9A">
      <w:numFmt w:val="decimal"/>
      <w:lvlText w:val=""/>
      <w:lvlJc w:val="left"/>
    </w:lvl>
    <w:lvl w:ilvl="7" w:tplc="950468D6">
      <w:numFmt w:val="decimal"/>
      <w:lvlText w:val=""/>
      <w:lvlJc w:val="left"/>
    </w:lvl>
    <w:lvl w:ilvl="8" w:tplc="426213A4">
      <w:numFmt w:val="decimal"/>
      <w:lvlText w:val=""/>
      <w:lvlJc w:val="left"/>
    </w:lvl>
  </w:abstractNum>
  <w:num w:numId="1" w16cid:durableId="1535532574">
    <w:abstractNumId w:val="0"/>
    <w:lvlOverride w:ilvl="0">
      <w:startOverride w:val="1"/>
    </w:lvlOverride>
  </w:num>
  <w:num w:numId="2" w16cid:durableId="15498770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86A"/>
    <w:rsid w:val="002703FB"/>
    <w:rsid w:val="0034586A"/>
    <w:rsid w:val="008B6C61"/>
    <w:rsid w:val="009049F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8000B"/>
  <w15:docId w15:val="{553CEEF9-A59D-485B-8D26-9C0C30AE4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B1A18"/>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33302B"/>
      <w:sz w:val="29"/>
      <w:szCs w:val="29"/>
    </w:rPr>
  </w:style>
  <w:style w:type="paragraph" w:styleId="Heading2">
    <w:name w:val="heading 2"/>
    <w:uiPriority w:val="9"/>
    <w:unhideWhenUsed/>
    <w:qFormat/>
    <w:pPr>
      <w:outlineLvl w:val="1"/>
    </w:pPr>
    <w:rPr>
      <w:b/>
      <w:bCs/>
      <w:color w:val="33302B"/>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b084548-1c03-48b4-bae9-d4eb30270b02}" enabled="1" method="Standard" siteId="{9531ba0e-85a4-46ab-adc8-1e6706ffed50}"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2877</Words>
  <Characters>16404</Characters>
  <Application>Microsoft Office Word</Application>
  <DocSecurity>0</DocSecurity>
  <Lines>136</Lines>
  <Paragraphs>38</Paragraphs>
  <ScaleCrop>false</ScaleCrop>
  <Company/>
  <LinksUpToDate>false</LinksUpToDate>
  <CharactersWithSpaces>19243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Georg Zangl</cp:lastModifiedBy>
  <cp:revision>2</cp:revision>
  <dcterms:created xsi:type="dcterms:W3CDTF">2026-08-19T18:35:00Z</dcterms:created>
  <dcterms:modified xsi:type="dcterms:W3CDTF">2026-08-28T15:11:00Z</dcterms:modified>
</cp:coreProperties>
</file>