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Seminar + lab · self-contained</w:t>
      </w:r>
    </w:p>
    <w:p>
      <w:pPr>
        <w:spacing w:after="60"/>
        <w:jc w:val="center"/>
      </w:pPr>
      <w:r>
        <w:rPr>
          <w:b/>
          <w:bCs/>
          <w:color w:val="1B1A18"/>
          <w:sz w:val="38"/>
          <w:szCs w:val="38"/>
        </w:rPr>
        <w:t xml:space="preserve">Derivation Lab Manual</w:t>
      </w:r>
    </w:p>
    <w:p>
      <w:pPr>
        <w:spacing w:after="150"/>
        <w:jc w:val="center"/>
      </w:pPr>
      <w:r>
        <w:rPr>
          <w:i/>
          <w:iCs/>
          <w:color w:val="6E6A62"/>
          <w:sz w:val="23"/>
          <w:szCs w:val="23"/>
        </w:rPr>
        <w:t xml:space="preserve">Thirteen weekly 75-minute labs, with model answers, printed reference, and supplied inputs</w:t>
      </w:r>
    </w:p>
    <w:p>
      <w:pPr>
        <w:spacing w:after="40"/>
        <w:jc w:val="center"/>
      </w:pPr>
      <w:r>
        <w:rPr>
          <w:color w:val="1B1A18"/>
          <w:sz w:val="20"/>
          <w:szCs w:val="20"/>
        </w:rPr>
        <w:t xml:space="preserve">MSc — Custody Architecture for Agentic Enterprises</w:t>
      </w:r>
    </w:p>
    <w:p>
      <w:pPr>
        <w:spacing w:after="220"/>
        <w:jc w:val="center"/>
      </w:pPr>
      <w:r>
        <w:rPr>
          <w:b/>
          <w:bCs/>
          <w:color w:val="33302B"/>
          <w:sz w:val="18"/>
          <w:szCs w:val="18"/>
        </w:rPr>
        <w:t>MZ-EDU-LAB-MSC v1.0 · 28 August 2026 · no book required in the lab</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For demonstrators and teaching assistants. </w:t>
            </w:r>
            <w:r>
              <w:rPr>
                <w:color w:val="1B1A18"/>
                <w:sz w:val="20"/>
                <w:szCs w:val="20"/>
              </w:rPr>
              <w:t xml:space="preserve">This manual assumes you are running the lab and are not necessarily the lecturer. Everything needed is printed here: the derivation, the six tests, the protocol, and four supplied incident inputs. The previous edition asked you to select inputs from the book’s consequence records; four are now supplied, and their provenance is marked.</w:t>
            </w:r>
          </w:p>
          <w:p>
            <w:pPr>
              <w:spacing w:after="0" w:line="264"/>
            </w:pPr>
            <w:r>
              <w:rPr>
                <w:b/>
                <w:bCs/>
                <w:color w:val="1B1A18"/>
                <w:sz w:val="20"/>
                <w:szCs w:val="20"/>
              </w:rPr>
              <w:t xml:space="preserve">Distribute above the line, keep below it. </w:t>
            </w:r>
            <w:r>
              <w:rPr>
                <w:color w:val="1B1A18"/>
                <w:sz w:val="20"/>
                <w:szCs w:val="20"/>
              </w:rPr>
              <w:t xml:space="preserve">In each lab, everything down to the model-answer notes goes to students. The notes are yours.</w:t>
            </w:r>
          </w:p>
        </w:tc>
      </w:tr>
    </w:tbl>
    <w:p>
      <w:pPr>
        <w:pStyle w:val="Heading1"/>
        <w:spacing w:after="130" w:before="300"/>
      </w:pPr>
      <w:r>
        <w:rPr>
          <w:b/>
          <w:bCs/>
          <w:color w:val="33302B"/>
          <w:sz w:val="29"/>
          <w:szCs w:val="29"/>
        </w:rPr>
        <w:t xml:space="preserve">Printed reference · the derivation</w:t>
      </w:r>
    </w:p>
    <w:p>
      <w:pPr>
        <w:spacing w:after="120" w:before="0" w:line="276"/>
      </w:pPr>
      <w:r>
        <w:rPr>
          <w:b w:val="false"/>
          <w:bCs w:val="false"/>
          <w:i w:val="false"/>
          <w:iCs w:val="false"/>
          <w:color w:val="1B1A18"/>
          <w:sz w:val="20"/>
          <w:szCs w:val="20"/>
        </w:rPr>
        <w:t xml:space="preserve">A crossing is a single act of work passing a boundary, and three things must survive it or the act ceases to be the enterprise’s. What the work means must survive, or the far side receives data and supplies its own significance — context. The right under which it proceeds must survive, or the far side cannot act, or acts without sanction — authority. The trace of who acted, under which right, must survive, or the act cannot be attributed afterwards — accountability. Meaning, right and trace exhaust what one crossing must carry, and each fails in a way the other two cannot detect.</w:t>
      </w:r>
    </w:p>
    <w:p>
      <w:pPr>
        <w:spacing w:after="120" w:before="0" w:line="276"/>
      </w:pPr>
      <w:r>
        <w:rPr>
          <w:b w:val="false"/>
          <w:bCs w:val="false"/>
          <w:i w:val="false"/>
          <w:iCs w:val="false"/>
          <w:color w:val="1B1A18"/>
          <w:sz w:val="20"/>
          <w:szCs w:val="20"/>
        </w:rPr>
        <w:t xml:space="preserve">An enterprise is a field of crossings, extended in two dimensions. Across space, two properties belong to the field rather than to any member: independent actors must advance one intent — coordination — and many systems must present one posture whichever door the work enters — coherence. Across time the field persists, which demands one more: what was learned at one crossing must be available at every later one — memory.</w:t>
      </w:r>
    </w:p>
    <w:p>
      <w:pPr>
        <w:spacing w:after="120" w:before="0" w:line="276"/>
      </w:pPr>
      <w:r>
        <w:rPr>
          <w:b w:val="false"/>
          <w:bCs w:val="false"/>
          <w:i w:val="false"/>
          <w:iCs w:val="false"/>
          <w:color w:val="1B1A18"/>
          <w:sz w:val="20"/>
          <w:szCs w:val="20"/>
        </w:rPr>
        <w:t xml:space="preserve">Three of the crossing, two of the field in space, one of the field in time. Complete because a crossing has no fourth thing to carry and the field has no third dimension. Minimal because each property owns a characteristic failure no other member catches.</w:t>
      </w:r>
    </w:p>
    <w:p>
      <w:pPr>
        <w:spacing w:after="70" w:before="160"/>
      </w:pPr>
      <w:r>
        <w:rPr>
          <w:b/>
          <w:bCs/>
          <w:color w:val="57534A"/>
          <w:sz w:val="20"/>
          <w:szCs w:val="20"/>
        </w:rPr>
        <w:t xml:space="preserve">The reverse challenge — the collapse of the usual candidates</w:t>
      </w:r>
    </w:p>
    <w:p>
      <w:pPr>
        <w:spacing w:after="120" w:before="0" w:line="276"/>
      </w:pPr>
      <w:r>
        <w:rPr>
          <w:b w:val="false"/>
          <w:bCs w:val="false"/>
          <w:i w:val="false"/>
          <w:iCs w:val="false"/>
          <w:color w:val="1B1A18"/>
          <w:sz w:val="20"/>
          <w:szCs w:val="20"/>
        </w:rPr>
        <w:t xml:space="preserve">A candidate property earns a place only by clearing two bars: it must be carried across the crossing rather than maintained inside a system, and it must be irreducible, failing in some way none of the six already catches. Have both bars on the board before the challenge opens.</w:t>
      </w:r>
    </w:p>
    <w:p>
      <w:pPr>
        <w:pStyle w:val="ListParagraph"/>
        <w:numPr>
          <w:ilvl w:val="0"/>
          <w:numId w:val="2"/>
        </w:numPr>
        <w:spacing w:after="70" w:line="276"/>
      </w:pPr>
      <w:r>
        <w:rPr>
          <w:b/>
          <w:bCs/>
          <w:color w:val="1B1A18"/>
          <w:sz w:val="20"/>
          <w:szCs w:val="20"/>
        </w:rPr>
        <w:t xml:space="preserve">Security and confidentiality: </w:t>
      </w:r>
      <w:r>
        <w:rPr>
          <w:color w:val="1B1A18"/>
          <w:sz w:val="20"/>
          <w:szCs w:val="20"/>
        </w:rPr>
        <w:t xml:space="preserve">authority applied to reading and acting. A breach is a right that travelled to someone who did not hold it.</w:t>
      </w:r>
    </w:p>
    <w:p>
      <w:pPr>
        <w:pStyle w:val="ListParagraph"/>
        <w:numPr>
          <w:ilvl w:val="0"/>
          <w:numId w:val="2"/>
        </w:numPr>
        <w:spacing w:after="70" w:line="276"/>
      </w:pPr>
      <w:r>
        <w:rPr>
          <w:b/>
          <w:bCs/>
          <w:color w:val="1B1A18"/>
          <w:sz w:val="20"/>
          <w:szCs w:val="20"/>
        </w:rPr>
        <w:t xml:space="preserve">Privacy: </w:t>
      </w:r>
      <w:r>
        <w:rPr>
          <w:color w:val="1B1A18"/>
          <w:sz w:val="20"/>
          <w:szCs w:val="20"/>
        </w:rPr>
        <w:t xml:space="preserve">authority over who may touch personal data, plus context binding that data to its purpose.</w:t>
      </w:r>
    </w:p>
    <w:p>
      <w:pPr>
        <w:pStyle w:val="ListParagraph"/>
        <w:numPr>
          <w:ilvl w:val="0"/>
          <w:numId w:val="2"/>
        </w:numPr>
        <w:spacing w:after="70" w:line="276"/>
      </w:pPr>
      <w:r>
        <w:rPr>
          <w:b/>
          <w:bCs/>
          <w:color w:val="1B1A18"/>
          <w:sz w:val="20"/>
          <w:szCs w:val="20"/>
        </w:rPr>
        <w:t xml:space="preserve">Auditability: </w:t>
      </w:r>
      <w:r>
        <w:rPr>
          <w:color w:val="1B1A18"/>
          <w:sz w:val="20"/>
          <w:szCs w:val="20"/>
        </w:rPr>
        <w:t xml:space="preserve">accountability observed over time. A system carrying accountability is auditable by construction; one that is not cannot be made so by adding a feature with that name.</w:t>
      </w:r>
    </w:p>
    <w:p>
      <w:pPr>
        <w:pStyle w:val="ListParagraph"/>
        <w:numPr>
          <w:ilvl w:val="0"/>
          <w:numId w:val="2"/>
        </w:numPr>
        <w:spacing w:after="70" w:line="276"/>
      </w:pPr>
      <w:r>
        <w:rPr>
          <w:b/>
          <w:bCs/>
          <w:color w:val="1B1A18"/>
          <w:sz w:val="20"/>
          <w:szCs w:val="20"/>
        </w:rPr>
        <w:t xml:space="preserve">Integrity of the record: </w:t>
      </w:r>
      <w:r>
        <w:rPr>
          <w:color w:val="1B1A18"/>
          <w:sz w:val="20"/>
          <w:szCs w:val="20"/>
        </w:rPr>
        <w:t xml:space="preserve">memory’s ceremony condition, not a seventh obligation.</w:t>
      </w:r>
    </w:p>
    <w:p>
      <w:pPr>
        <w:pStyle w:val="ListParagraph"/>
        <w:numPr>
          <w:ilvl w:val="0"/>
          <w:numId w:val="2"/>
        </w:numPr>
        <w:spacing w:after="70" w:line="276"/>
      </w:pPr>
      <w:r>
        <w:rPr>
          <w:b/>
          <w:bCs/>
          <w:color w:val="1B1A18"/>
          <w:sz w:val="20"/>
          <w:szCs w:val="20"/>
        </w:rPr>
        <w:t xml:space="preserve">Compliance: </w:t>
      </w:r>
      <w:r>
        <w:rPr>
          <w:color w:val="1B1A18"/>
          <w:sz w:val="20"/>
          <w:szCs w:val="20"/>
        </w:rPr>
        <w:t xml:space="preserve">coherence pointed at an external rule-maker, evidenced by accountability, bounded by authority.</w:t>
      </w:r>
    </w:p>
    <w:p>
      <w:pPr>
        <w:spacing w:after="140"/>
      </w:pPr>
    </w:p>
    <w:p>
      <w:pPr>
        <w:pStyle w:val="Heading1"/>
        <w:spacing w:after="130" w:before="300"/>
      </w:pPr>
      <w:r>
        <w:rPr>
          <w:b/>
          <w:bCs/>
          <w:color w:val="33302B"/>
          <w:sz w:val="29"/>
          <w:szCs w:val="29"/>
        </w:rPr>
        <w:t xml:space="preserve">Printed reference · the six diagnostic tests</w:t>
      </w:r>
    </w:p>
    <w:p>
      <w:pPr>
        <w:spacing w:after="140" w:line="276"/>
      </w:pPr>
      <w:r>
        <w:rPr>
          <w:i/>
          <w:iCs/>
          <w:color w:val="6E6A62"/>
          <w:sz w:val="20"/>
          <w:szCs w:val="20"/>
        </w:rPr>
        <w:t xml:space="preserve">Printed so that nothing here requires the book to be open in the lab. Read them as written; the wording is doing work.</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200"/>
        <w:gridCol w:w="7880"/>
      </w:tblGrid>
      <w:tr>
        <w:trPr>
          <w:tblHeader/>
        </w:trPr>
        <w:tc>
          <w:tcPr>
            <w:tcW w:type="dxa" w:w="22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Property</w:t>
            </w:r>
          </w:p>
        </w:tc>
        <w:tc>
          <w:tcPr>
            <w:tcW w:type="dxa" w:w="78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The test</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Context</w:t>
            </w:r>
          </w:p>
        </w:tc>
        <w:tc>
          <w:tcPr>
            <w:tcW w:type="dxa" w:w="7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Pick any piece of work mid-journey and ask the receiving side not what the data says, but what it means and why it is constrained. If the answer requires a phone call, context is not in custody.</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Authority</w:t>
            </w:r>
          </w:p>
        </w:tc>
        <w:tc>
          <w:tcPr>
            <w:tcW w:type="dxa" w:w="7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any consequential action ask: who may decide this, and under which delegation? Then time how long the true answer takes and how many systems must be consulted to assemble it.</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Accountability</w:t>
            </w:r>
          </w:p>
        </w:tc>
        <w:tc>
          <w:tcPr>
            <w:tcW w:type="dxa" w:w="7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Take a consequential action from ninety days ago and produce its full attribution — who, under which right, with what result. If the answer is a project rather than a query, accountability is not in custody.</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Coordination</w:t>
            </w:r>
          </w:p>
        </w:tc>
        <w:tc>
          <w:tcPr>
            <w:tcW w:type="dxa" w:w="7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Choose one enterprise-level intent and trace where it is represented as an enforceable object rather than a document, along the path the work actually travels. If the trace comes up empty, the enterprise is integrated, not coordinated.</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Execution coherence</w:t>
            </w:r>
          </w:p>
        </w:tc>
        <w:tc>
          <w:tcPr>
            <w:tcW w:type="dxa" w:w="7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State one non-negotiable, then enter through three different doors — three systems, three channels, three interfaces — and check whether it holds identically at each. One exception disproves coherence; that is what non-negotiable means.</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Institutional memory</w:t>
            </w:r>
          </w:p>
        </w:tc>
        <w:tc>
          <w:tcPr>
            <w:tcW w:type="dxa" w:w="7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Identify a lesson the organisation paid heavily to learn more than five years ago and ask where it is written, who vouched for it, and what consults it today. If the answer is a person, the memory is not institutional — it is borrowed.</w:t>
            </w:r>
          </w:p>
        </w:tc>
      </w:tr>
    </w:tbl>
    <w:p>
      <w:pPr>
        <w:spacing w:after="140"/>
      </w:pPr>
    </w:p>
    <w:p>
      <w:pPr>
        <w:pStyle w:val="Heading1"/>
        <w:spacing w:after="130" w:before="300"/>
      </w:pPr>
      <w:r>
        <w:rPr>
          <w:b/>
          <w:bCs/>
          <w:color w:val="33302B"/>
          <w:sz w:val="29"/>
          <w:szCs w:val="29"/>
        </w:rPr>
        <w:t xml:space="preserve">The thirteen labs</w:t>
      </w:r>
    </w:p>
    <w:p>
      <w:pPr>
        <w:pStyle w:val="Heading2"/>
        <w:spacing w:after="90" w:before="220"/>
      </w:pPr>
      <w:r>
        <w:rPr>
          <w:b/>
          <w:bCs/>
          <w:color w:val="33302B"/>
          <w:sz w:val="23"/>
          <w:szCs w:val="23"/>
        </w:rPr>
        <w:t xml:space="preserve">Lab 1 · Locate the crossing in a supplied incident before any vocabulary exists.</w:t>
      </w:r>
    </w:p>
    <w:p>
      <w:pPr>
        <w:spacing w:after="120" w:before="0" w:line="276"/>
      </w:pPr>
      <w:r>
        <w:rPr>
          <w:b w:val="false"/>
          <w:bCs w:val="false"/>
          <w:i w:val="false"/>
          <w:iCs w:val="false"/>
          <w:color w:val="1B1A18"/>
          <w:sz w:val="20"/>
          <w:szCs w:val="20"/>
        </w:rPr>
        <w:t xml:space="preserve">Pre-lab. None. This lab runs cold, deliberately.</w:t>
      </w:r>
    </w:p>
    <w:p>
      <w:pPr>
        <w:spacing w:after="120" w:before="0" w:line="276"/>
      </w:pPr>
      <w:r>
        <w:rPr>
          <w:b w:val="false"/>
          <w:bCs w:val="false"/>
          <w:i w:val="false"/>
          <w:iCs w:val="false"/>
          <w:color w:val="1B1A18"/>
          <w:sz w:val="20"/>
          <w:szCs w:val="20"/>
        </w:rPr>
        <w:t xml:space="preserve">Task (50 min). Give the seminar supplied input 1 (below) with no framing. Ask a single question: where, precisely, was the loss incurred? Require an answer stated as a boundary between two named parties or systems, not as a system name or a person’s error.</w:t>
      </w:r>
    </w:p>
    <w:p>
      <w:pPr>
        <w:spacing w:after="120" w:before="0" w:line="276"/>
      </w:pPr>
      <w:r>
        <w:rPr>
          <w:b w:val="false"/>
          <w:bCs w:val="false"/>
          <w:i w:val="false"/>
          <w:iCs w:val="false"/>
          <w:color w:val="1B1A18"/>
          <w:sz w:val="20"/>
          <w:szCs w:val="20"/>
        </w:rPr>
        <w:t xml:space="preserve">Deliverable. One sentence naming the boundary, plus what should have crossed it and did not.</w:t>
      </w:r>
    </w:p>
    <w:p>
      <w:pPr>
        <w:spacing w:after="120" w:before="0" w:line="276"/>
      </w:pPr>
      <w:r>
        <w:rPr>
          <w:b w:val="false"/>
          <w:bCs w:val="false"/>
          <w:i w:val="false"/>
          <w:iCs w:val="false"/>
          <w:color w:val="57534A"/>
          <w:sz w:val="20"/>
          <w:szCs w:val="20"/>
        </w:rPr>
        <w:t xml:space="preserve">Model-answer notes. Groups reliably locate it. The lab exists so that in week 2 the vocabulary is a name for something they have already done rather than a taxonomy handed down. Refuse answers of the form the system was wrong or the operator was careless — ask what should have arrived and did not.</w:t>
      </w:r>
    </w:p>
    <w:p>
      <w:pPr>
        <w:pStyle w:val="Heading2"/>
        <w:spacing w:after="90" w:before="220"/>
      </w:pPr>
      <w:r>
        <w:rPr>
          <w:b/>
          <w:bCs/>
          <w:color w:val="33302B"/>
          <w:sz w:val="23"/>
          <w:szCs w:val="23"/>
        </w:rPr>
        <w:t xml:space="preserve">Lab 2 · Rebuild the six properties from the structure of a crossing.</w:t>
      </w:r>
    </w:p>
    <w:p>
      <w:pPr>
        <w:spacing w:after="120" w:before="0" w:line="276"/>
      </w:pPr>
      <w:r>
        <w:rPr>
          <w:b w:val="false"/>
          <w:bCs w:val="false"/>
          <w:i w:val="false"/>
          <w:iCs w:val="false"/>
          <w:color w:val="1B1A18"/>
          <w:sz w:val="20"/>
          <w:szCs w:val="20"/>
        </w:rPr>
        <w:t xml:space="preserve">Pre-lab. The derivation reference above. Students should not read it before the lab; demonstrators must.</w:t>
      </w:r>
    </w:p>
    <w:p>
      <w:pPr>
        <w:spacing w:after="120" w:before="0" w:line="276"/>
      </w:pPr>
      <w:r>
        <w:rPr>
          <w:b w:val="false"/>
          <w:bCs w:val="false"/>
          <w:i w:val="false"/>
          <w:iCs w:val="false"/>
          <w:color w:val="1B1A18"/>
          <w:sz w:val="20"/>
          <w:szCs w:val="20"/>
        </w:rPr>
        <w:t xml:space="preserve">Task (50 min). Do not present the six. Give the seminar one crossing and ask what must survive it for the act to remain the enterprise’s. Drive to exactly three, and require each to fail in a way the other two cannot detect. Then extend to many simultaneous crossings, then to time. Finally run the reverse challenge: security, privacy, auditability, integrity, compliance, consistency — each must clear both bars.</w:t>
      </w:r>
    </w:p>
    <w:p>
      <w:pPr>
        <w:spacing w:after="120" w:before="0" w:line="276"/>
      </w:pPr>
      <w:r>
        <w:rPr>
          <w:b w:val="false"/>
          <w:bCs w:val="false"/>
          <w:i w:val="false"/>
          <w:iCs w:val="false"/>
          <w:color w:val="1B1A18"/>
          <w:sz w:val="20"/>
          <w:szCs w:val="20"/>
        </w:rPr>
        <w:t xml:space="preserve">Deliverable. A derived set, with the failure-independence argument written for the first three, and the collapse argument for at least three candidates.</w:t>
      </w:r>
    </w:p>
    <w:p>
      <w:pPr>
        <w:spacing w:after="120" w:before="0" w:line="276"/>
      </w:pPr>
      <w:r>
        <w:rPr>
          <w:b w:val="false"/>
          <w:bCs w:val="false"/>
          <w:i w:val="false"/>
          <w:iCs w:val="false"/>
          <w:color w:val="57534A"/>
          <w:sz w:val="20"/>
          <w:szCs w:val="20"/>
        </w:rPr>
        <w:t xml:space="preserve">Model-answer notes. The single most important lab in the course. Two failure modes: presenting the answer to save time, which makes the capstones undefendable in week 13; and accepting candidates that fail the first bar rather than the second — things maintained inside a system rather than carried across a boundary. Put both bars on the board before the challenge opens. If a student produces a genuine seventh property, that is a good outcome: the set is falsifiable and should be treated as such.</w:t>
      </w:r>
    </w:p>
    <w:p>
      <w:pPr>
        <w:pStyle w:val="Heading2"/>
        <w:spacing w:after="90" w:before="220"/>
      </w:pPr>
      <w:r>
        <w:rPr>
          <w:b/>
          <w:bCs/>
          <w:color w:val="33302B"/>
          <w:sz w:val="23"/>
          <w:szCs w:val="23"/>
        </w:rPr>
        <w:t xml:space="preserve">Lab 3 · Compose the axioms and derive the two eliminations.</w:t>
      </w:r>
    </w:p>
    <w:p>
      <w:pPr>
        <w:spacing w:after="120" w:before="0" w:line="276"/>
      </w:pPr>
      <w:r>
        <w:rPr>
          <w:b w:val="false"/>
          <w:bCs w:val="false"/>
          <w:i w:val="false"/>
          <w:iCs w:val="false"/>
          <w:color w:val="1B1A18"/>
          <w:sz w:val="20"/>
          <w:szCs w:val="20"/>
        </w:rPr>
        <w:t xml:space="preserve">Pre-lab. Problem set 1 is set from this lab.</w:t>
      </w:r>
    </w:p>
    <w:p>
      <w:pPr>
        <w:spacing w:after="120" w:before="0" w:line="276"/>
      </w:pPr>
      <w:r>
        <w:rPr>
          <w:b w:val="false"/>
          <w:bCs w:val="false"/>
          <w:i w:val="false"/>
          <w:iCs w:val="false"/>
          <w:color w:val="1B1A18"/>
          <w:sz w:val="20"/>
          <w:szCs w:val="20"/>
        </w:rPr>
        <w:t xml:space="preserve">Task (50 min). Assign one axiom per group to attack. Then compose in the open: if a rule holds always and a component holds usually, where can the guarantee live? Then: if four axes of variance arrive on external timetables and every change must carry evidence, where can behaviour not live?</w:t>
      </w:r>
    </w:p>
    <w:p>
      <w:pPr>
        <w:spacing w:after="120" w:before="0" w:line="276"/>
      </w:pPr>
      <w:r>
        <w:rPr>
          <w:b w:val="false"/>
          <w:bCs w:val="false"/>
          <w:i w:val="false"/>
          <w:iCs w:val="false"/>
          <w:color w:val="1B1A18"/>
          <w:sz w:val="20"/>
          <w:szCs w:val="20"/>
        </w:rPr>
        <w:t xml:space="preserve">Deliverable. Two written eliminations, each stated as a conditional with its premises named.</w:t>
      </w:r>
    </w:p>
    <w:p>
      <w:pPr>
        <w:spacing w:after="120" w:before="0" w:line="276"/>
      </w:pPr>
      <w:r>
        <w:rPr>
          <w:b w:val="false"/>
          <w:bCs w:val="false"/>
          <w:i w:val="false"/>
          <w:iCs w:val="false"/>
          <w:color w:val="57534A"/>
          <w:sz w:val="20"/>
          <w:szCs w:val="20"/>
        </w:rPr>
        <w:t xml:space="preserve">Model-answer notes. The strongest attacks come against perpetual variance, which students read as inconvenient rather than structural. The reply is that four axes on timetables you do not control make code-resident behaviour a permanent release backlog. Do not let the session become a critique of model quality — the probabilistic axiom is a statement about what kind of guarantee a component can supply.</w:t>
      </w:r>
    </w:p>
    <w:p>
      <w:pPr>
        <w:pStyle w:val="Heading2"/>
        <w:spacing w:after="90" w:before="220"/>
      </w:pPr>
      <w:r>
        <w:rPr>
          <w:b/>
          <w:bCs/>
          <w:color w:val="33302B"/>
          <w:sz w:val="23"/>
          <w:szCs w:val="23"/>
        </w:rPr>
        <w:t xml:space="preserve">Lab 4 · Partition a system, including the case that resists.</w:t>
      </w:r>
    </w:p>
    <w:p>
      <w:pPr>
        <w:spacing w:after="120" w:before="0" w:line="276"/>
      </w:pPr>
      <w:r>
        <w:rPr>
          <w:b w:val="false"/>
          <w:bCs w:val="false"/>
          <w:i w:val="false"/>
          <w:iCs w:val="false"/>
          <w:color w:val="1B1A18"/>
          <w:sz w:val="20"/>
          <w:szCs w:val="20"/>
        </w:rPr>
        <w:t xml:space="preserve">Pre-lab. Supplied input 2.</w:t>
      </w:r>
    </w:p>
    <w:p>
      <w:pPr>
        <w:spacing w:after="120" w:before="0" w:line="276"/>
      </w:pPr>
      <w:r>
        <w:rPr>
          <w:b w:val="false"/>
          <w:bCs w:val="false"/>
          <w:i w:val="false"/>
          <w:iCs w:val="false"/>
          <w:color w:val="1B1A18"/>
          <w:sz w:val="20"/>
          <w:szCs w:val="20"/>
        </w:rPr>
        <w:t xml:space="preserve">Task (50 min). Partition the supplied system into invariant structure and variable content. One rule differs by jurisdiction but not by tenant, and another is invariant for the operator and variable for one large customer. Both must be inside the partition.</w:t>
      </w:r>
    </w:p>
    <w:p>
      <w:pPr>
        <w:spacing w:after="120" w:before="0" w:line="276"/>
      </w:pPr>
      <w:r>
        <w:rPr>
          <w:b w:val="false"/>
          <w:bCs w:val="false"/>
          <w:i w:val="false"/>
          <w:iCs w:val="false"/>
          <w:color w:val="1B1A18"/>
          <w:sz w:val="20"/>
          <w:szCs w:val="20"/>
        </w:rPr>
        <w:t xml:space="preserve">Deliverable. A partition, plus a written decision on the two awkward rules and who funds their maintenance.</w:t>
      </w:r>
    </w:p>
    <w:p>
      <w:pPr>
        <w:spacing w:after="120" w:before="0" w:line="276"/>
      </w:pPr>
      <w:r>
        <w:rPr>
          <w:b w:val="false"/>
          <w:bCs w:val="false"/>
          <w:i w:val="false"/>
          <w:iCs w:val="false"/>
          <w:color w:val="57534A"/>
          <w:sz w:val="20"/>
          <w:szCs w:val="20"/>
        </w:rPr>
        <w:t xml:space="preserve">Model-answer notes. Groups will draw the line to exclude the awkward cases. Insist. This is the Lidl failure in miniature: variance with nowhere to land goes into customisation, and customisation is funded forever.</w:t>
      </w:r>
    </w:p>
    <w:p>
      <w:pPr>
        <w:pStyle w:val="Heading2"/>
        <w:spacing w:after="90" w:before="220"/>
      </w:pPr>
      <w:r>
        <w:rPr>
          <w:b/>
          <w:bCs/>
          <w:color w:val="33302B"/>
          <w:sz w:val="23"/>
          <w:szCs w:val="23"/>
        </w:rPr>
        <w:t xml:space="preserve">Lab 5 · Express an org chart as authority records.</w:t>
      </w:r>
    </w:p>
    <w:p>
      <w:pPr>
        <w:spacing w:after="120" w:before="0" w:line="276"/>
      </w:pPr>
      <w:r>
        <w:rPr>
          <w:b w:val="false"/>
          <w:bCs w:val="false"/>
          <w:i w:val="false"/>
          <w:iCs w:val="false"/>
          <w:color w:val="1B1A18"/>
          <w:sz w:val="20"/>
          <w:szCs w:val="20"/>
        </w:rPr>
        <w:t xml:space="preserve">Pre-lab. None.</w:t>
      </w:r>
    </w:p>
    <w:p>
      <w:pPr>
        <w:spacing w:after="120" w:before="0" w:line="276"/>
      </w:pPr>
      <w:r>
        <w:rPr>
          <w:b w:val="false"/>
          <w:bCs w:val="false"/>
          <w:i w:val="false"/>
          <w:iCs w:val="false"/>
          <w:color w:val="1B1A18"/>
          <w:sz w:val="20"/>
          <w:szCs w:val="20"/>
        </w:rPr>
        <w:t xml:space="preserve">Task (50 min). Take a real or supplied delegation structure and express it as data: who may decide what, within which limits, delegated by whom, consulted at a boundary. Include acting arrangements and temporary cover.</w:t>
      </w:r>
    </w:p>
    <w:p>
      <w:pPr>
        <w:spacing w:after="120" w:before="0" w:line="276"/>
      </w:pPr>
      <w:r>
        <w:rPr>
          <w:b w:val="false"/>
          <w:bCs w:val="false"/>
          <w:i w:val="false"/>
          <w:iCs w:val="false"/>
          <w:color w:val="1B1A18"/>
          <w:sz w:val="20"/>
          <w:szCs w:val="20"/>
        </w:rPr>
        <w:t xml:space="preserve">Deliverable. A schema plus five populated records, one of which is a temporary delegation with an expiry.</w:t>
      </w:r>
    </w:p>
    <w:p>
      <w:pPr>
        <w:spacing w:after="120" w:before="0" w:line="276"/>
      </w:pPr>
      <w:r>
        <w:rPr>
          <w:b w:val="false"/>
          <w:bCs w:val="false"/>
          <w:i w:val="false"/>
          <w:iCs w:val="false"/>
          <w:color w:val="57534A"/>
          <w:sz w:val="20"/>
          <w:szCs w:val="20"/>
        </w:rPr>
        <w:t xml:space="preserve">Model-answer notes. It fails predictably at conditional delegation — acting cover, limits that vary by amount and instrument. Let it fail, then ask what the failure says about how authority is held today. Watch for role modelling: a role is a container, and the property concerns what may be decided under whose delegation.</w:t>
      </w:r>
    </w:p>
    <w:p>
      <w:pPr>
        <w:pStyle w:val="Heading2"/>
        <w:spacing w:after="90" w:before="220"/>
      </w:pPr>
      <w:r>
        <w:rPr>
          <w:b/>
          <w:bCs/>
          <w:color w:val="33302B"/>
          <w:sz w:val="23"/>
          <w:szCs w:val="23"/>
        </w:rPr>
        <w:t xml:space="preserve">Lab 6 · Locate the never, and search for the bypass.</w:t>
      </w:r>
    </w:p>
    <w:p>
      <w:pPr>
        <w:spacing w:after="120" w:before="0" w:line="276"/>
      </w:pPr>
      <w:r>
        <w:rPr>
          <w:b w:val="false"/>
          <w:bCs w:val="false"/>
          <w:i w:val="false"/>
          <w:iCs w:val="false"/>
          <w:color w:val="1B1A18"/>
          <w:sz w:val="20"/>
          <w:szCs w:val="20"/>
        </w:rPr>
        <w:t xml:space="preserve">Pre-lab. Problem set 2 is set from this lab. Supplied input 3.</w:t>
      </w:r>
    </w:p>
    <w:p>
      <w:pPr>
        <w:spacing w:after="120" w:before="0" w:line="276"/>
      </w:pPr>
      <w:r>
        <w:rPr>
          <w:b w:val="false"/>
          <w:bCs w:val="false"/>
          <w:i w:val="false"/>
          <w:iCs w:val="false"/>
          <w:color w:val="1B1A18"/>
          <w:sz w:val="20"/>
          <w:szCs w:val="20"/>
        </w:rPr>
        <w:t xml:space="preserve">Task (50 min). Three candidate architectures for the same rule, one of which places it in a guardrail model. Choose an enforcement point, then find a path that reaches the action without passing it.</w:t>
      </w:r>
    </w:p>
    <w:p>
      <w:pPr>
        <w:spacing w:after="120" w:before="0" w:line="276"/>
      </w:pPr>
      <w:r>
        <w:rPr>
          <w:b w:val="false"/>
          <w:bCs w:val="false"/>
          <w:i w:val="false"/>
          <w:iCs w:val="false"/>
          <w:color w:val="1B1A18"/>
          <w:sz w:val="20"/>
          <w:szCs w:val="20"/>
        </w:rPr>
        <w:t xml:space="preserve">Deliverable. A chosen point plus a bypass path found, or a written argument that none exists.</w:t>
      </w:r>
    </w:p>
    <w:p>
      <w:pPr>
        <w:spacing w:after="120" w:before="0" w:line="276"/>
      </w:pPr>
      <w:r>
        <w:rPr>
          <w:b w:val="false"/>
          <w:bCs w:val="false"/>
          <w:i w:val="false"/>
          <w:iCs w:val="false"/>
          <w:color w:val="57534A"/>
          <w:sz w:val="20"/>
          <w:szCs w:val="20"/>
        </w:rPr>
        <w:t xml:space="preserve">Model-answer notes. The seminar should establish for itself that a second probabilistic component checking the first makes neither deterministic. Mark the bypass search, not the choice: asserting no bypass exists scores nothing.</w:t>
      </w:r>
    </w:p>
    <w:p>
      <w:pPr>
        <w:pStyle w:val="Heading2"/>
        <w:spacing w:after="90" w:before="220"/>
      </w:pPr>
      <w:r>
        <w:rPr>
          <w:b/>
          <w:bCs/>
          <w:color w:val="33302B"/>
          <w:sz w:val="23"/>
          <w:szCs w:val="23"/>
        </w:rPr>
        <w:t xml:space="preserve">Lab 7 · Run the origin test on a real integration.</w:t>
      </w:r>
    </w:p>
    <w:p>
      <w:pPr>
        <w:spacing w:after="120" w:before="0" w:line="276"/>
      </w:pPr>
      <w:r>
        <w:rPr>
          <w:b w:val="false"/>
          <w:bCs w:val="false"/>
          <w:i w:val="false"/>
          <w:iCs w:val="false"/>
          <w:color w:val="1B1A18"/>
          <w:sz w:val="20"/>
          <w:szCs w:val="20"/>
        </w:rPr>
        <w:t xml:space="preserve">Pre-lab. Students bring an integration they can describe.</w:t>
      </w:r>
    </w:p>
    <w:p>
      <w:pPr>
        <w:spacing w:after="120" w:before="0" w:line="276"/>
      </w:pPr>
      <w:r>
        <w:rPr>
          <w:b w:val="false"/>
          <w:bCs w:val="false"/>
          <w:i w:val="false"/>
          <w:iCs w:val="false"/>
          <w:color w:val="1B1A18"/>
          <w:sz w:val="20"/>
          <w:szCs w:val="20"/>
        </w:rPr>
        <w:t xml:space="preserve">Task (50 min). For each fragment reaching a decision point: what does the structure know about where it came from, and what is that class permitted to influence? Then attempt to introduce untrusted content into a position where it influences a reserved decision.</w:t>
      </w:r>
    </w:p>
    <w:p>
      <w:pPr>
        <w:spacing w:after="120" w:before="0" w:line="276"/>
      </w:pPr>
      <w:r>
        <w:rPr>
          <w:b w:val="false"/>
          <w:bCs w:val="false"/>
          <w:i w:val="false"/>
          <w:iCs w:val="false"/>
          <w:color w:val="1B1A18"/>
          <w:sz w:val="20"/>
          <w:szCs w:val="20"/>
        </w:rPr>
        <w:t xml:space="preserve">Deliverable. A provenance classification for one path, plus one successful or attempted influence.</w:t>
      </w:r>
    </w:p>
    <w:p>
      <w:pPr>
        <w:spacing w:after="120" w:before="0" w:line="276"/>
      </w:pPr>
      <w:r>
        <w:rPr>
          <w:b w:val="false"/>
          <w:bCs w:val="false"/>
          <w:i w:val="false"/>
          <w:iCs w:val="false"/>
          <w:color w:val="57534A"/>
          <w:sz w:val="20"/>
          <w:szCs w:val="20"/>
        </w:rPr>
        <w:t xml:space="preserve">Model-answer notes. The productive discovery is that most systems know a fragment’s location but not its class. Location is not class — an approved policy and an uploaded document can share a store.</w:t>
      </w:r>
    </w:p>
    <w:p>
      <w:pPr>
        <w:pStyle w:val="Heading2"/>
        <w:spacing w:after="90" w:before="220"/>
      </w:pPr>
      <w:r>
        <w:rPr>
          <w:b/>
          <w:bCs/>
          <w:color w:val="33302B"/>
          <w:sz w:val="23"/>
          <w:szCs w:val="23"/>
        </w:rPr>
        <w:t xml:space="preserve">Lab 8 · Analyse a consequence record as a custody failure.</w:t>
      </w:r>
    </w:p>
    <w:p>
      <w:pPr>
        <w:spacing w:after="120" w:before="0" w:line="276"/>
      </w:pPr>
      <w:r>
        <w:rPr>
          <w:b w:val="false"/>
          <w:bCs w:val="false"/>
          <w:i w:val="false"/>
          <w:iCs w:val="false"/>
          <w:color w:val="1B1A18"/>
          <w:sz w:val="20"/>
          <w:szCs w:val="20"/>
        </w:rPr>
        <w:t xml:space="preserve">Pre-lab. Consequence-record analysis is due. Supplied input 4.</w:t>
      </w:r>
    </w:p>
    <w:p>
      <w:pPr>
        <w:spacing w:after="120" w:before="0" w:line="276"/>
      </w:pPr>
      <w:r>
        <w:rPr>
          <w:b w:val="false"/>
          <w:bCs w:val="false"/>
          <w:i w:val="false"/>
          <w:iCs w:val="false"/>
          <w:color w:val="1B1A18"/>
          <w:sz w:val="20"/>
          <w:szCs w:val="20"/>
        </w:rPr>
        <w:t xml:space="preserve">Task (50 min). Take the supplied record and produce a custody analysis: which property failed, at which crossing, what would have had to exist, and what the reconstruction cost was.</w:t>
      </w:r>
    </w:p>
    <w:p>
      <w:pPr>
        <w:spacing w:after="120" w:before="0" w:line="276"/>
      </w:pPr>
      <w:r>
        <w:rPr>
          <w:b w:val="false"/>
          <w:bCs w:val="false"/>
          <w:i w:val="false"/>
          <w:iCs w:val="false"/>
          <w:color w:val="1B1A18"/>
          <w:sz w:val="20"/>
          <w:szCs w:val="20"/>
        </w:rPr>
        <w:t xml:space="preserve">Deliverable. A two-page analysis with the crossing named.</w:t>
      </w:r>
    </w:p>
    <w:p>
      <w:pPr>
        <w:spacing w:after="120" w:before="0" w:line="276"/>
      </w:pPr>
      <w:r>
        <w:rPr>
          <w:b w:val="false"/>
          <w:bCs w:val="false"/>
          <w:i w:val="false"/>
          <w:iCs w:val="false"/>
          <w:color w:val="57534A"/>
          <w:sz w:val="20"/>
          <w:szCs w:val="20"/>
        </w:rPr>
        <w:t xml:space="preserve">Model-answer notes. The common error is attributing the failure to the system where it was noticed rather than the crossing where it was lost. Mark that distinction heavily; it recurs in the capstone.</w:t>
      </w:r>
    </w:p>
    <w:p>
      <w:pPr>
        <w:pStyle w:val="Heading2"/>
        <w:spacing w:after="90" w:before="220"/>
      </w:pPr>
      <w:r>
        <w:rPr>
          <w:b/>
          <w:bCs/>
          <w:color w:val="33302B"/>
          <w:sz w:val="23"/>
          <w:szCs w:val="23"/>
        </w:rPr>
        <w:t xml:space="preserve">Lab 9 · Design write-ceremony and provenance for a store.</w:t>
      </w:r>
    </w:p>
    <w:p>
      <w:pPr>
        <w:spacing w:after="120" w:before="0" w:line="276"/>
      </w:pPr>
      <w:r>
        <w:rPr>
          <w:b w:val="false"/>
          <w:bCs w:val="false"/>
          <w:i w:val="false"/>
          <w:iCs w:val="false"/>
          <w:color w:val="1B1A18"/>
          <w:sz w:val="20"/>
          <w:szCs w:val="20"/>
        </w:rPr>
        <w:t xml:space="preserve">Pre-lab. None.</w:t>
      </w:r>
    </w:p>
    <w:p>
      <w:pPr>
        <w:spacing w:after="120" w:before="0" w:line="276"/>
      </w:pPr>
      <w:r>
        <w:rPr>
          <w:b w:val="false"/>
          <w:bCs w:val="false"/>
          <w:i w:val="false"/>
          <w:iCs w:val="false"/>
          <w:color w:val="1B1A18"/>
          <w:sz w:val="20"/>
          <w:szCs w:val="20"/>
        </w:rPr>
        <w:t xml:space="preserve">Task (50 min). Design the conditions under which something may enter durable memory, and the provenance classes a reader can act on. Then a second team attacks it.</w:t>
      </w:r>
    </w:p>
    <w:p>
      <w:pPr>
        <w:spacing w:after="120" w:before="0" w:line="276"/>
      </w:pPr>
      <w:r>
        <w:rPr>
          <w:b w:val="false"/>
          <w:bCs w:val="false"/>
          <w:i w:val="false"/>
          <w:iCs w:val="false"/>
          <w:color w:val="1B1A18"/>
          <w:sz w:val="20"/>
          <w:szCs w:val="20"/>
        </w:rPr>
        <w:t xml:space="preserve">Deliverable. A design plus the attack report.</w:t>
      </w:r>
    </w:p>
    <w:p>
      <w:pPr>
        <w:spacing w:after="120" w:before="0" w:line="276"/>
      </w:pPr>
      <w:r>
        <w:rPr>
          <w:b w:val="false"/>
          <w:bCs w:val="false"/>
          <w:i w:val="false"/>
          <w:iCs w:val="false"/>
          <w:color w:val="57534A"/>
          <w:sz w:val="20"/>
          <w:szCs w:val="20"/>
        </w:rPr>
        <w:t xml:space="preserve">Model-answer notes. Designs that bolt an approval workflow around the store fail the attack. The requirement is that a write without provenance is refused — a property of the store, not a process beside it.</w:t>
      </w:r>
    </w:p>
    <w:p>
      <w:pPr>
        <w:pStyle w:val="Heading2"/>
        <w:spacing w:after="90" w:before="220"/>
      </w:pPr>
      <w:r>
        <w:rPr>
          <w:b/>
          <w:bCs/>
          <w:color w:val="33302B"/>
          <w:sz w:val="23"/>
          <w:szCs w:val="23"/>
        </w:rPr>
        <w:t xml:space="preserve">Lab 10 · Run the expressibility test and build a dependency census.</w:t>
      </w:r>
    </w:p>
    <w:p>
      <w:pPr>
        <w:spacing w:after="120" w:before="0" w:line="276"/>
      </w:pPr>
      <w:r>
        <w:rPr>
          <w:b w:val="false"/>
          <w:bCs w:val="false"/>
          <w:i w:val="false"/>
          <w:iCs w:val="false"/>
          <w:color w:val="1B1A18"/>
          <w:sz w:val="20"/>
          <w:szCs w:val="20"/>
        </w:rPr>
        <w:t xml:space="preserve">Pre-lab. Problem set 3 is set from this lab.</w:t>
      </w:r>
    </w:p>
    <w:p>
      <w:pPr>
        <w:spacing w:after="120" w:before="0" w:line="276"/>
      </w:pPr>
      <w:r>
        <w:rPr>
          <w:b w:val="false"/>
          <w:bCs w:val="false"/>
          <w:i w:val="false"/>
          <w:iCs w:val="false"/>
          <w:color w:val="1B1A18"/>
          <w:sz w:val="20"/>
          <w:szCs w:val="20"/>
        </w:rPr>
        <w:t xml:space="preserve">Task (50 min). Write the statement that would cross tenants in the lab environment. Then census every party whose availability, pricing or policy the system relies on, and price substitution for each.</w:t>
      </w:r>
    </w:p>
    <w:p>
      <w:pPr>
        <w:spacing w:after="120" w:before="0" w:line="276"/>
      </w:pPr>
      <w:r>
        <w:rPr>
          <w:b w:val="false"/>
          <w:bCs w:val="false"/>
          <w:i w:val="false"/>
          <w:iCs w:val="false"/>
          <w:color w:val="1B1A18"/>
          <w:sz w:val="20"/>
          <w:szCs w:val="20"/>
        </w:rPr>
        <w:t xml:space="preserve">Deliverable. The statement (or a demonstration that it cannot be written), plus a census with substitution costs.</w:t>
      </w:r>
    </w:p>
    <w:p>
      <w:pPr>
        <w:spacing w:after="120" w:before="0" w:line="276"/>
      </w:pPr>
      <w:r>
        <w:rPr>
          <w:b w:val="false"/>
          <w:bCs w:val="false"/>
          <w:i w:val="false"/>
          <w:iCs w:val="false"/>
          <w:color w:val="57534A"/>
          <w:sz w:val="20"/>
          <w:szCs w:val="20"/>
        </w:rPr>
        <w:t xml:space="preserve">Model-answer notes. The statement usually can be written, which is the lesson: isolation that depends on nobody writing it is a policy. In the census, expect students to list only contracted suppliers — the orchestration layer with no counterparty and policy dependency are the missing entries.</w:t>
      </w:r>
    </w:p>
    <w:p>
      <w:pPr>
        <w:pStyle w:val="Heading2"/>
        <w:spacing w:after="90" w:before="220"/>
      </w:pPr>
      <w:r>
        <w:rPr>
          <w:b/>
          <w:bCs/>
          <w:color w:val="33302B"/>
          <w:sz w:val="23"/>
          <w:szCs w:val="23"/>
        </w:rPr>
        <w:t xml:space="preserve">Lab 11 · Run the last-month and two-invoices tests against your own build.</w:t>
      </w:r>
    </w:p>
    <w:p>
      <w:pPr>
        <w:spacing w:after="120" w:before="0" w:line="276"/>
      </w:pPr>
      <w:r>
        <w:rPr>
          <w:b w:val="false"/>
          <w:bCs w:val="false"/>
          <w:i w:val="false"/>
          <w:iCs w:val="false"/>
          <w:color w:val="1B1A18"/>
          <w:sz w:val="20"/>
          <w:szCs w:val="20"/>
        </w:rPr>
        <w:t xml:space="preserve">Pre-lab. Students need a system they built earlier in the programme, with a month of history.</w:t>
      </w:r>
    </w:p>
    <w:p>
      <w:pPr>
        <w:spacing w:after="120" w:before="0" w:line="276"/>
      </w:pPr>
      <w:r>
        <w:rPr>
          <w:b w:val="false"/>
          <w:bCs w:val="false"/>
          <w:i w:val="false"/>
          <w:iCs w:val="false"/>
          <w:color w:val="1B1A18"/>
          <w:sz w:val="20"/>
          <w:szCs w:val="20"/>
        </w:rPr>
        <w:t xml:space="preserve">Task (50 min). One transaction at least a month old: full attribution by query, including the rule version then in force. Then cost and consumption per action for one component over one month, from execution-time records.</w:t>
      </w:r>
    </w:p>
    <w:p>
      <w:pPr>
        <w:spacing w:after="120" w:before="0" w:line="276"/>
      </w:pPr>
      <w:r>
        <w:rPr>
          <w:b w:val="false"/>
          <w:bCs w:val="false"/>
          <w:i w:val="false"/>
          <w:iCs w:val="false"/>
          <w:color w:val="1B1A18"/>
          <w:sz w:val="20"/>
          <w:szCs w:val="20"/>
        </w:rPr>
        <w:t xml:space="preserve">Deliverable. Both attempts recorded, with the schema attached and the failure points named.</w:t>
      </w:r>
    </w:p>
    <w:p>
      <w:pPr>
        <w:spacing w:after="120" w:before="0" w:line="276"/>
      </w:pPr>
      <w:r>
        <w:rPr>
          <w:b w:val="false"/>
          <w:bCs w:val="false"/>
          <w:i w:val="false"/>
          <w:iCs w:val="false"/>
          <w:color w:val="57534A"/>
          <w:sz w:val="20"/>
          <w:szCs w:val="20"/>
        </w:rPr>
        <w:t xml:space="preserve">Model-answer notes. Most student systems fail the last-month test, and the failure is the lab. Mark on evidence recorded rather than outcome achieved: a recorded failure with the schema attached scores above an asserted success. Draw the inference explicitly — the absent record that hides cost hides exposure.</w:t>
      </w:r>
    </w:p>
    <w:p>
      <w:pPr>
        <w:pStyle w:val="Heading2"/>
        <w:spacing w:after="90" w:before="220"/>
      </w:pPr>
      <w:r>
        <w:rPr>
          <w:b/>
          <w:bCs/>
          <w:color w:val="33302B"/>
          <w:sz w:val="23"/>
          <w:szCs w:val="23"/>
        </w:rPr>
        <w:t xml:space="preserve">Lab 12 · Critique a reference architecture against the referee question.</w:t>
      </w:r>
    </w:p>
    <w:p>
      <w:pPr>
        <w:spacing w:after="120" w:before="0" w:line="276"/>
      </w:pPr>
      <w:r>
        <w:rPr>
          <w:b w:val="false"/>
          <w:bCs w:val="false"/>
          <w:i w:val="false"/>
          <w:iCs w:val="false"/>
          <w:color w:val="1B1A18"/>
          <w:sz w:val="20"/>
          <w:szCs w:val="20"/>
        </w:rPr>
        <w:t xml:space="preserve">Pre-lab. Reference-architecture critique is due.</w:t>
      </w:r>
    </w:p>
    <w:p>
      <w:pPr>
        <w:spacing w:after="120" w:before="0" w:line="276"/>
      </w:pPr>
      <w:r>
        <w:rPr>
          <w:b w:val="false"/>
          <w:bCs w:val="false"/>
          <w:i w:val="false"/>
          <w:iCs w:val="false"/>
          <w:color w:val="1B1A18"/>
          <w:sz w:val="20"/>
          <w:szCs w:val="20"/>
        </w:rPr>
        <w:t xml:space="preserve">Task (50 min). Given a published reference architecture, answer: does the party holding the invariants have a stake among the coordinated? And name one property that would survive replacement of a component beneath it.</w:t>
      </w:r>
    </w:p>
    <w:p>
      <w:pPr>
        <w:spacing w:after="120" w:before="0" w:line="276"/>
      </w:pPr>
      <w:r>
        <w:rPr>
          <w:b w:val="false"/>
          <w:bCs w:val="false"/>
          <w:i w:val="false"/>
          <w:iCs w:val="false"/>
          <w:color w:val="1B1A18"/>
          <w:sz w:val="20"/>
          <w:szCs w:val="20"/>
        </w:rPr>
        <w:t xml:space="preserve">Deliverable. A critique with both questions answered from the document rather than from intent.</w:t>
      </w:r>
    </w:p>
    <w:p>
      <w:pPr>
        <w:spacing w:after="120" w:before="0" w:line="276"/>
      </w:pPr>
      <w:r>
        <w:rPr>
          <w:b w:val="false"/>
          <w:bCs w:val="false"/>
          <w:i w:val="false"/>
          <w:iCs w:val="false"/>
          <w:color w:val="57534A"/>
          <w:sz w:val="20"/>
          <w:szCs w:val="20"/>
        </w:rPr>
        <w:t xml:space="preserve">Model-answer notes. The strongest student position is that neutrality is commercially unachievable. That is legitimate and should be examined rather than corrected — the architectural claim is conditional, and whether anyone occupies the position is empirical.</w:t>
      </w:r>
    </w:p>
    <w:p>
      <w:pPr>
        <w:pStyle w:val="Heading2"/>
        <w:spacing w:after="90" w:before="220"/>
      </w:pPr>
      <w:r>
        <w:rPr>
          <w:b/>
          <w:bCs/>
          <w:color w:val="33302B"/>
          <w:sz w:val="23"/>
          <w:szCs w:val="23"/>
        </w:rPr>
        <w:t xml:space="preserve">Lab 13 · Defend a capstone under the protocol.</w:t>
      </w:r>
    </w:p>
    <w:p>
      <w:pPr>
        <w:spacing w:after="120" w:before="0" w:line="276"/>
      </w:pPr>
      <w:r>
        <w:rPr>
          <w:b w:val="false"/>
          <w:bCs w:val="false"/>
          <w:i w:val="false"/>
          <w:iCs w:val="false"/>
          <w:color w:val="1B1A18"/>
          <w:sz w:val="20"/>
          <w:szCs w:val="20"/>
        </w:rPr>
        <w:t xml:space="preserve">Pre-lab. Capstone presentations.</w:t>
      </w:r>
    </w:p>
    <w:p>
      <w:pPr>
        <w:spacing w:after="120" w:before="0" w:line="276"/>
      </w:pPr>
      <w:r>
        <w:rPr>
          <w:b w:val="false"/>
          <w:bCs w:val="false"/>
          <w:i w:val="false"/>
          <w:iCs w:val="false"/>
          <w:color w:val="1B1A18"/>
          <w:sz w:val="20"/>
          <w:szCs w:val="20"/>
        </w:rPr>
        <w:t xml:space="preserve">Task (50 min). Each capstone states which test bit hardest and what was done about it.</w:t>
      </w:r>
    </w:p>
    <w:p>
      <w:pPr>
        <w:spacing w:after="120" w:before="0" w:line="276"/>
      </w:pPr>
      <w:r>
        <w:rPr>
          <w:b w:val="false"/>
          <w:bCs w:val="false"/>
          <w:i w:val="false"/>
          <w:iCs w:val="false"/>
          <w:color w:val="1B1A18"/>
          <w:sz w:val="20"/>
          <w:szCs w:val="20"/>
        </w:rPr>
        <w:t xml:space="preserve">Deliverable. The defence.</w:t>
      </w:r>
    </w:p>
    <w:p>
      <w:pPr>
        <w:spacing w:after="120" w:before="0" w:line="276"/>
      </w:pPr>
      <w:r>
        <w:rPr>
          <w:b w:val="false"/>
          <w:bCs w:val="false"/>
          <w:i w:val="false"/>
          <w:iCs w:val="false"/>
          <w:color w:val="57534A"/>
          <w:sz w:val="20"/>
          <w:szCs w:val="20"/>
        </w:rPr>
        <w:t xml:space="preserve">Model-answer notes. A capstone in which nothing failed has usually not been run, and that should be said in the room. Say it in week 11 so nobody is ambushed.</w:t>
      </w:r>
    </w:p>
    <w:p>
      <w:pPr>
        <w:pStyle w:val="Heading1"/>
        <w:spacing w:after="130" w:before="300"/>
      </w:pPr>
      <w:r>
        <w:rPr>
          <w:b/>
          <w:bCs/>
          <w:color w:val="33302B"/>
          <w:sz w:val="29"/>
          <w:szCs w:val="29"/>
        </w:rPr>
        <w:t xml:space="preserve">Printed reference · the protocol</w:t>
      </w:r>
    </w:p>
    <w:p>
      <w:pPr>
        <w:spacing w:after="140" w:line="276"/>
      </w:pPr>
      <w:r>
        <w:rPr>
          <w:i/>
          <w:iCs/>
          <w:color w:val="6E6A62"/>
          <w:sz w:val="20"/>
          <w:szCs w:val="20"/>
        </w:rPr>
        <w:t xml:space="preserve">Ten items. The sequence is deliberate — each failure makes the later questions unnecessary. None requires source code, model weights, or training data.</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700"/>
        <w:gridCol w:w="2400"/>
        <w:gridCol w:w="6980"/>
      </w:tblGrid>
      <w:tr>
        <w:trPr>
          <w:tblHeader/>
        </w:trPr>
        <w:tc>
          <w:tcPr>
            <w:tcW w:type="dxa" w:w="7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t>
            </w:r>
          </w:p>
        </w:tc>
        <w:tc>
          <w:tcPr>
            <w:tcW w:type="dxa" w:w="2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Test</w:t>
            </w:r>
          </w:p>
        </w:tc>
        <w:tc>
          <w:tcPr>
            <w:tcW w:type="dxa" w:w="69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it demands</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0</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single-clause specification</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Show the crossing, and show what survives it. Pick a real piece of work, make the claimant walk it across a real boundary between two systems, live, and inspect what arrives — the payload alone, or the payload with its meaning, its rights, its record, and its relationship to what the enterprise knows. Everything else in the protocol is this question, factored.</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onboarding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new tenant, domain, regulation, model — rows or releases? Follow-up: where does a new agent prove itself? In the application, inside the gates it will live under, or in a development environment — which is a release pipeline confessing under another name.</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address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non-negotiable; its physical enforcement point. Disqualify on the word prompt.</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3</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expressibility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isolation: have their engineers write the statement that would cross tenants. Isolation that depends on the statement not being written is a policy; isolation where the statement cannot be written is a construction.</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4</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origin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At the seams: what does the structure know about where a fragment came from, and what is that class permitted to influence?</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5</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dependency census</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sovereignty: the runtime leash list — every party whose availability, pricing or policy the system depends on to function.</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6</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substitution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cost of saying no to any single party on that list.</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7</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last-month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transaction, full attribution including the rule version in force, by query, verified by someone who distrusts the keeper.</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8</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two-invoices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agent, one month, cost and consumption per action, from execution-time records.</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9</w:t>
            </w:r>
          </w:p>
        </w:tc>
        <w:tc>
          <w:tcPr>
            <w:tcW w:type="dxa" w:w="2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outlive test</w:t>
            </w:r>
          </w:p>
        </w:tc>
        <w:tc>
          <w:tcPr>
            <w:tcW w:type="dxa" w:w="6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referee question — does the party holding the invariants have a stake among the coordinated? And the turnover question — name a property that has survived the replacement of a component beneath it.</w:t>
            </w:r>
          </w:p>
        </w:tc>
      </w:tr>
    </w:tbl>
    <w:p>
      <w:pPr>
        <w:spacing w:after="140"/>
      </w:pPr>
    </w:p>
    <w:p>
      <w:pPr>
        <w:pStyle w:val="Heading1"/>
        <w:spacing w:after="130" w:before="300"/>
      </w:pPr>
      <w:r>
        <w:rPr>
          <w:b/>
          <w:bCs/>
          <w:color w:val="33302B"/>
          <w:sz w:val="29"/>
          <w:szCs w:val="29"/>
        </w:rPr>
        <w:t xml:space="preserve">Supplied inputs</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Provenance of these inputs, and why it is marked. </w:t>
            </w:r>
            <w:r>
              <w:rPr>
                <w:color w:val="1B1A18"/>
                <w:sz w:val="20"/>
                <w:szCs w:val="20"/>
              </w:rPr>
              <w:t xml:space="preserve">Inputs 1 and 4 are documented consequence records traceable to an investigation report and a court judgment. Inputs 2 and 3 are </w:t>
            </w:r>
            <w:r>
              <w:rPr>
                <w:i/>
                <w:iCs/>
                <w:color w:val="1B1A18"/>
                <w:sz w:val="20"/>
                <w:szCs w:val="20"/>
              </w:rPr>
              <w:t xml:space="preserve">constructed</w:t>
            </w:r>
            <w:r>
              <w:rPr>
                <w:color w:val="1B1A18"/>
                <w:sz w:val="20"/>
                <w:szCs w:val="20"/>
              </w:rPr>
              <w:t xml:space="preserve"> teaching systems, invented for the lab. Never present a constructed input as a real incident and never accept one as evidence in an assessed submission. Students who cannot tell a sourced record from a plausible story will produce capstones nobody can rely on.</w:t>
            </w:r>
          </w:p>
        </w:tc>
      </w:tr>
    </w:tbl>
    <w:p>
      <w:pPr>
        <w:spacing w:after="70" w:before="160"/>
      </w:pPr>
      <w:r>
        <w:rPr>
          <w:b/>
          <w:bCs/>
          <w:color w:val="57534A"/>
          <w:sz w:val="20"/>
          <w:szCs w:val="20"/>
        </w:rPr>
        <w:t xml:space="preserve">Input 1 — documented: a quantity that crossed without its unit</w:t>
      </w:r>
    </w:p>
    <w:p>
      <w:pPr>
        <w:spacing w:after="120" w:before="0" w:line="276"/>
      </w:pPr>
      <w:r>
        <w:rPr>
          <w:b w:val="false"/>
          <w:bCs w:val="false"/>
          <w:i w:val="false"/>
          <w:iCs w:val="false"/>
          <w:color w:val="1B1A18"/>
          <w:sz w:val="20"/>
          <w:szCs w:val="20"/>
        </w:rPr>
        <w:t xml:space="preserve">A spacecraft was lost because a quantity crossed a software interface without its unit — one team working in pound-seconds, the other in newton-seconds. No component was inaccurate. The number was correct and meant something different on the far side of the boundary. Useful in teaching precisely because it is not about AI and not about anyone being careless: it is the cleanest possible demonstration that a value can be right and its meaning can fail to travel.</w:t>
      </w:r>
    </w:p>
    <w:p>
      <w:pPr>
        <w:spacing w:after="120" w:before="0" w:line="276"/>
      </w:pPr>
      <w:r>
        <w:rPr>
          <w:b w:val="false"/>
          <w:bCs w:val="false"/>
          <w:i/>
          <w:iCs/>
          <w:color w:val="6E6A62"/>
          <w:sz w:val="20"/>
          <w:szCs w:val="20"/>
        </w:rPr>
        <w:t xml:space="preserve">Source: NASA mishap investigation board report, 1999.</w:t>
      </w:r>
    </w:p>
    <w:p>
      <w:pPr>
        <w:spacing w:after="70" w:before="160"/>
      </w:pPr>
      <w:r>
        <w:rPr>
          <w:b/>
          <w:bCs/>
          <w:color w:val="57534A"/>
          <w:sz w:val="20"/>
          <w:szCs w:val="20"/>
        </w:rPr>
        <w:t xml:space="preserve">Input 2 — constructed: a claims platform to partition</w:t>
      </w:r>
    </w:p>
    <w:p>
      <w:pPr>
        <w:spacing w:after="120" w:before="0" w:line="276"/>
      </w:pPr>
      <w:r>
        <w:rPr>
          <w:b w:val="false"/>
          <w:bCs w:val="false"/>
          <w:i w:val="false"/>
          <w:iCs w:val="false"/>
          <w:color w:val="1B1A18"/>
          <w:sz w:val="20"/>
          <w:szCs w:val="20"/>
        </w:rPr>
        <w:t xml:space="preserve">A insurance claims platform operated for eleven insurers in four jurisdictions. Rules in play: the maximum settlement an adjuster may approve without referral; the documents required before payment; the period within which a claim must be acknowledged; whether photographs may be stored outside the jurisdiction; the wording of the rejection letter; which medical providers are in network; the currency of settlement; and the retention period for claim files. Two rules resist a clean partition. Photograph residency differs by jurisdiction but not by insurer, so it is neither operator-invariant nor tenant-variable in the shape the platform expects. And the referral threshold is invariant for the operator’s own risk appetite while one large insurer contractually requires a lower one. Both must be inside the exercise.</w:t>
      </w:r>
    </w:p>
    <w:p>
      <w:pPr>
        <w:spacing w:after="70" w:before="160"/>
      </w:pPr>
      <w:r>
        <w:rPr>
          <w:b/>
          <w:bCs/>
          <w:color w:val="57534A"/>
          <w:sz w:val="20"/>
          <w:szCs w:val="20"/>
        </w:rPr>
        <w:t xml:space="preserve">Input 3 — constructed: three architectures for one rule</w:t>
      </w:r>
    </w:p>
    <w:p>
      <w:pPr>
        <w:spacing w:after="120" w:before="0" w:line="276"/>
      </w:pPr>
      <w:r>
        <w:rPr>
          <w:b w:val="false"/>
          <w:bCs w:val="false"/>
          <w:i w:val="false"/>
          <w:iCs w:val="false"/>
          <w:color w:val="1B1A18"/>
          <w:sz w:val="20"/>
          <w:szCs w:val="20"/>
        </w:rPr>
        <w:t xml:space="preserve">Rule: a claim above the referral threshold must never be paid without a second approval. Architecture A places a check in the payment service, through which every payment instruction passes, with the threshold held as data. Architecture B places the check in each of the four channel applications that can originate a payment, each implementing it against its own copy of the threshold. Architecture C routes payment instructions through an assistant instructed to refuse anything above the threshold and to escalate instead, with a monitoring model sampling its decisions. Groups should reach A, should be able to state precisely why B fails coherence and C fails the composition of the first two axioms, and should search for a bypass in A before accepting it.</w:t>
      </w:r>
    </w:p>
    <w:p>
      <w:pPr>
        <w:spacing w:after="70" w:before="160"/>
      </w:pPr>
      <w:r>
        <w:rPr>
          <w:b/>
          <w:bCs/>
          <w:color w:val="57534A"/>
          <w:sz w:val="20"/>
          <w:szCs w:val="20"/>
        </w:rPr>
        <w:t xml:space="preserve">Input 4 — documented: an obligation the system stopped satisfying</w:t>
      </w:r>
    </w:p>
    <w:p>
      <w:pPr>
        <w:spacing w:after="120" w:before="0" w:line="276"/>
      </w:pPr>
      <w:r>
        <w:rPr>
          <w:b w:val="false"/>
          <w:bCs w:val="false"/>
          <w:i w:val="false"/>
          <w:iCs w:val="false"/>
          <w:color w:val="1B1A18"/>
          <w:sz w:val="20"/>
          <w:szCs w:val="20"/>
        </w:rPr>
        <w:t xml:space="preserve">A software change in an automated deposit machine channel meant threshold transaction reports were not generated for a large volume of transactions over several years. Proceedings concluded in 2018 with a substantial agreed civil penalty. The obligation was never in doubt; the system’s behaviour after a change no longer satisfied it, and nothing at the boundary noticed for years. The teaching question is detection: what would have had to exist for the gap to surface in the first month rather than after several years?</w:t>
      </w:r>
    </w:p>
    <w:p>
      <w:pPr>
        <w:spacing w:after="120" w:before="0" w:line="276"/>
      </w:pPr>
      <w:r>
        <w:rPr>
          <w:b w:val="false"/>
          <w:bCs w:val="false"/>
          <w:i/>
          <w:iCs/>
          <w:color w:val="6E6A62"/>
          <w:sz w:val="20"/>
          <w:szCs w:val="20"/>
        </w:rPr>
        <w:t xml:space="preserve">Source: Federal Court of Australia, [2018] FCA 930.</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MZ-EDU-LAB-MSC v1.0  •  lab manual · self-contained — no book required in the lab  •  Page </w:t>
    </w:r>
    <w:r>
      <w:rPr>
        <w:color w:val="6E6A6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MSc derivation lab manual · self-contained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2026-08-19T18:37:40.056Z</dcterms:created>
  <dcterms:modified xsi:type="dcterms:W3CDTF">2026-08-19T18:37:40.075Z</dcterms:modified>
</cp:coreProperties>
</file>

<file path=docProps/custom.xml><?xml version="1.0" encoding="utf-8"?>
<Properties xmlns="http://schemas.openxmlformats.org/officeDocument/2006/custom-properties" xmlns:vt="http://schemas.openxmlformats.org/officeDocument/2006/docPropsVTypes"/>
</file>