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360"/>
        <w:jc w:val="center"/>
      </w:pPr>
      <w:r>
        <w:rPr>
          <w:b/>
          <w:bCs/>
          <w:caps/>
          <w:color w:val="33302B"/>
          <w:sz w:val="18"/>
          <w:szCs w:val="18"/>
        </w:rPr>
        <w:t xml:space="preserve">Practice guidance · for disputes counsel and litigators</w:t>
      </w:r>
    </w:p>
    <w:p>
      <w:pPr>
        <w:spacing w:after="60"/>
        <w:jc w:val="center"/>
      </w:pPr>
      <w:r>
        <w:rPr>
          <w:b/>
          <w:bCs/>
          <w:color w:val="1B1A18"/>
          <w:sz w:val="38"/>
          <w:szCs w:val="38"/>
        </w:rPr>
        <w:t xml:space="preserve">Records, Reconstruction, and the Case You Can Actually Prove</w:t>
      </w:r>
    </w:p>
    <w:p>
      <w:pPr>
        <w:spacing w:after="150"/>
        <w:jc w:val="center"/>
      </w:pPr>
      <w:r>
        <w:rPr>
          <w:i/>
          <w:iCs/>
          <w:color w:val="6E6A62"/>
          <w:sz w:val="23"/>
          <w:szCs w:val="23"/>
        </w:rPr>
        <w:t xml:space="preserve">What to request, how to test an attribution claim, and the theory that beats "the AI got it wrong"</w:t>
      </w:r>
    </w:p>
    <w:p>
      <w:pPr>
        <w:spacing w:after="40"/>
        <w:jc w:val="center"/>
      </w:pPr>
      <w:r>
        <w:rPr>
          <w:color w:val="1B1A18"/>
          <w:sz w:val="20"/>
          <w:szCs w:val="20"/>
        </w:rPr>
        <w:t xml:space="preserve">Derived from What the Structure Does Not Carry · Georg Zangl</w:t>
      </w:r>
    </w:p>
    <w:p>
      <w:pPr>
        <w:spacing w:after="220"/>
        <w:jc w:val="center"/>
      </w:pPr>
      <w:r>
        <w:rPr>
          <w:b/>
          <w:bCs/>
          <w:color w:val="33302B"/>
          <w:sz w:val="18"/>
          <w:szCs w:val="18"/>
        </w:rPr>
        <w:t>MZ-LAW-003 v1.0 · 28 August 2026</w:t>
      </w:r>
    </w:p>
    <w:tbl>
      <w:tblPr>
        <w:tblW w:type="dxa" w:w="10080"/>
        <w:tblBorders>
          <w:top w:val="single" w:color="D6D2C9" w:sz="4"/>
          <w:left w:val="single" w:color="8A8378" w:sz="12"/>
          <w:bottom w:val="single" w:color="D6D2C9" w:sz="4"/>
          <w:right w:val="single" w:color="D6D2C9" w:sz="4"/>
          <w:insideH w:val="none"/>
          <w:insideV w:val="none"/>
        </w:tblBorders>
      </w:tblPr>
      <w:tblGrid>
        <w:gridCol w:w="10080"/>
      </w:tblGrid>
      <w:tr>
        <w:tc>
          <w:tcPr>
            <w:tcW w:type="dxa" w:w="10080"/>
            <w:shd w:fill="F4F2EE" w:color="auto" w:val="clear"/>
            <w:tcMar>
              <w:top w:type="dxa" w:w="120"/>
              <w:left w:type="dxa" w:w="160"/>
              <w:bottom w:type="dxa" w:w="120"/>
              <w:right w:type="dxa" w:w="160"/>
            </w:tcMar>
          </w:tcPr>
          <w:p>
            <w:pPr>
              <w:spacing w:after="80" w:line="264"/>
            </w:pPr>
            <w:r>
              <w:rPr>
                <w:b/>
                <w:bCs/>
                <w:color w:val="1B1A18"/>
                <w:sz w:val="20"/>
                <w:szCs w:val="20"/>
              </w:rPr>
              <w:t xml:space="preserve">Not legal advice. </w:t>
            </w:r>
            <w:r>
              <w:rPr>
                <w:color w:val="1B1A18"/>
                <w:sz w:val="20"/>
                <w:szCs w:val="20"/>
              </w:rPr>
              <w:t xml:space="preserve">This is practice-support material written by an engineer, not a lawyer. It does not state the law of any jurisdiction, and every article, instrument, and retention period named here must be checked against the text in force where you practise. Its purpose is to supply mechanism — how systems fail at boundaries, and what evidence exists when they do — so that you can attach your own doctrine to it. Where it appears to make a legal claim, treat that as a drafting error and rely on your own analysis.</w:t>
            </w:r>
          </w:p>
          <w:p>
            <w:pPr>
              <w:spacing w:after="0" w:line="264"/>
            </w:pPr>
            <w:r>
              <w:rPr>
                <w:b/>
                <w:bCs/>
                <w:color w:val="1B1A18"/>
                <w:sz w:val="20"/>
                <w:szCs w:val="20"/>
              </w:rPr>
              <w:t xml:space="preserve">Declaration of interest. </w:t>
            </w:r>
            <w:r>
              <w:rPr>
                <w:color w:val="1B1A18"/>
                <w:sz w:val="20"/>
                <w:szCs w:val="20"/>
              </w:rPr>
              <w:t xml:space="preserve">The author writes about, and builds, infrastructure of the kind this material argues for. The instruments below are derived from stated requirements rather than calibrated to any product, and are meant to be run against the author’s own systems first. Every coined term is unencumbered: not trademarked, not licensed, free to adopt, rename, or discard.</w:t>
            </w:r>
          </w:p>
        </w:tc>
      </w:tr>
    </w:tbl>
    <w:p>
      <w:pPr>
        <w:pStyle w:val="Heading1"/>
        <w:spacing w:after="130" w:before="300"/>
      </w:pPr>
      <w:r>
        <w:rPr>
          <w:b/>
          <w:bCs/>
          <w:color w:val="33302B"/>
          <w:sz w:val="29"/>
          <w:szCs w:val="29"/>
        </w:rPr>
        <w:t xml:space="preserve">1 · The problem this solves for you</w:t>
      </w:r>
    </w:p>
    <w:p>
      <w:pPr>
        <w:spacing w:after="120" w:before="0" w:line="276"/>
      </w:pPr>
      <w:r>
        <w:rPr>
          <w:b w:val="false"/>
          <w:bCs w:val="false"/>
          <w:i w:val="false"/>
          <w:iCs w:val="false"/>
          <w:color w:val="1B1A18"/>
          <w:sz w:val="20"/>
          <w:szCs w:val="20"/>
        </w:rPr>
        <w:t xml:space="preserve">An agentic failure arrives on your desk as a story: the system did something nobody intended, and the client cannot explain how. Two instincts follow, and both are traps.</w:t>
      </w:r>
    </w:p>
    <w:p>
      <w:pPr>
        <w:spacing w:after="120" w:before="0" w:line="276"/>
      </w:pPr>
      <w:r>
        <w:rPr>
          <w:b w:val="false"/>
          <w:bCs w:val="false"/>
          <w:i w:val="false"/>
          <w:iCs w:val="false"/>
          <w:color w:val="1B1A18"/>
          <w:sz w:val="20"/>
          <w:szCs w:val="20"/>
        </w:rPr>
        <w:t xml:space="preserve">The first is to plead the model — it hallucinated, it was inaccurate, it was biased. That takes you into a contest of experts about probabilistic behaviour, on ground your opponent chose, where the honest answer to most questions is that nobody can say precisely why the model produced that output. It is the weakest available case and it is the one most often brought.</w:t>
      </w:r>
    </w:p>
    <w:p>
      <w:pPr>
        <w:spacing w:after="120" w:before="0" w:line="276"/>
      </w:pPr>
      <w:r>
        <w:rPr>
          <w:b w:val="false"/>
          <w:bCs w:val="false"/>
          <w:i w:val="false"/>
          <w:iCs w:val="false"/>
          <w:color w:val="1B1A18"/>
          <w:sz w:val="20"/>
          <w:szCs w:val="20"/>
        </w:rPr>
        <w:t xml:space="preserve">The second is to accept a reconstruction as a record. Your client’s engineers will produce a narrative assembled after the fact from several systems, presented in good faith, looking exactly like evidence. It is not evidence, and if you build on it you will discover that under cross-examination rather than before.</w:t>
      </w:r>
    </w:p>
    <w:p>
      <w:pPr>
        <w:pStyle w:val="Heading1"/>
        <w:spacing w:after="130" w:before="300"/>
      </w:pPr>
      <w:r>
        <w:rPr>
          <w:b/>
          <w:bCs/>
          <w:color w:val="33302B"/>
          <w:sz w:val="29"/>
          <w:szCs w:val="29"/>
        </w:rPr>
        <w:t xml:space="preserve">2 · The one idea that matters most in your role</w:t>
      </w:r>
    </w:p>
    <w:p>
      <w:pPr>
        <w:spacing w:after="120" w:before="0" w:line="276"/>
      </w:pPr>
      <w:r>
        <w:rPr>
          <w:b w:val="false"/>
          <w:bCs w:val="false"/>
          <w:i w:val="false"/>
          <w:iCs w:val="false"/>
          <w:color w:val="1B1A18"/>
          <w:sz w:val="20"/>
          <w:szCs w:val="20"/>
        </w:rPr>
        <w:t xml:space="preserve">A record is generated at the moment of action or it does not exist.</w:t>
      </w:r>
    </w:p>
    <w:p>
      <w:pPr>
        <w:spacing w:after="120" w:before="0" w:line="276"/>
      </w:pPr>
      <w:r>
        <w:rPr>
          <w:b w:val="false"/>
          <w:bCs w:val="false"/>
          <w:i w:val="false"/>
          <w:iCs w:val="false"/>
          <w:color w:val="1B1A18"/>
          <w:sz w:val="20"/>
          <w:szCs w:val="20"/>
        </w:rPr>
        <w:t xml:space="preserve">Everything else in this document follows. Attribution that had to be investigated is testimony about the past wearing evidence’s clothes — and the way to expose it, or to defend against the accusation, is mechanical rather than rhetorical. Ask three questions about any record produced in a dispute.</w:t>
      </w:r>
    </w:p>
    <w:p>
      <w:pPr>
        <w:pStyle w:val="ListParagraph"/>
        <w:numPr>
          <w:ilvl w:val="0"/>
          <w:numId w:val="2"/>
        </w:numPr>
        <w:spacing w:after="70" w:line="276"/>
      </w:pPr>
      <w:r>
        <w:rPr>
          <w:color w:val="1B1A18"/>
          <w:sz w:val="20"/>
          <w:szCs w:val="20"/>
        </w:rPr>
        <w:t xml:space="preserve">What was captured at execution, and what was derived later? Require the schema, not the report.</w:t>
      </w:r>
    </w:p>
    <w:p>
      <w:pPr>
        <w:pStyle w:val="ListParagraph"/>
        <w:numPr>
          <w:ilvl w:val="0"/>
          <w:numId w:val="2"/>
        </w:numPr>
        <w:spacing w:after="70" w:line="276"/>
      </w:pPr>
      <w:r>
        <w:rPr>
          <w:color w:val="1B1A18"/>
          <w:sz w:val="20"/>
          <w:szCs w:val="20"/>
        </w:rPr>
        <w:t xml:space="preserve">Does the record contain the version of the rule in force at the time, or only the rule as it stands now? A record that cannot establish which policy applied cannot establish whether it was followed.</w:t>
      </w:r>
    </w:p>
    <w:p>
      <w:pPr>
        <w:pStyle w:val="ListParagraph"/>
        <w:numPr>
          <w:ilvl w:val="0"/>
          <w:numId w:val="2"/>
        </w:numPr>
        <w:spacing w:after="70" w:line="276"/>
      </w:pPr>
      <w:r>
        <w:rPr>
          <w:color w:val="1B1A18"/>
          <w:sz w:val="20"/>
          <w:szCs w:val="20"/>
        </w:rPr>
        <w:t xml:space="preserve">Can it be verified by a party who does not operate the system? If verification requires the keeper of the record, the record is the keeper’s account.</w:t>
      </w:r>
    </w:p>
    <w:p>
      <w:pPr>
        <w:spacing w:after="120" w:before="60" w:line="276"/>
      </w:pPr>
      <w:r>
        <w:rPr>
          <w:b w:val="false"/>
          <w:bCs w:val="false"/>
          <w:i w:val="false"/>
          <w:iCs w:val="false"/>
          <w:color w:val="1B1A18"/>
          <w:sz w:val="20"/>
          <w:szCs w:val="20"/>
        </w:rPr>
        <w:t xml:space="preserve">The Post Office Horizon litigation is the reference record for what happens when this is not asked for two decades: more than nine hundred prosecutions and 236 people imprisoned on the strength of system output treated as independently trustworthy when it was not. It is the most important authority in this field and the least technical.</w:t>
      </w:r>
    </w:p>
    <w:p>
      <w:pPr>
        <w:pStyle w:val="Heading1"/>
        <w:spacing w:after="130" w:before="300"/>
      </w:pPr>
      <w:r>
        <w:rPr>
          <w:b/>
          <w:bCs/>
          <w:color w:val="33302B"/>
          <w:sz w:val="29"/>
          <w:szCs w:val="29"/>
        </w:rPr>
        <w:t xml:space="preserve">What to read, and what to skip</w:t>
      </w:r>
    </w:p>
    <w:p>
      <w:pPr>
        <w:spacing w:after="140" w:line="276"/>
      </w:pPr>
      <w:r>
        <w:rPr>
          <w:i/>
          <w:iCs/>
          <w:color w:val="6E6A62"/>
          <w:sz w:val="20"/>
          <w:szCs w:val="20"/>
        </w:rPr>
        <w:t xml:space="preserve">The book is 23 chapters and you do not need most of them. This is the reading order for your role, with the reason. Anything not listed can be left — that is not modesty, it is that a chapter read without a use is a chapter forgotten.</w:t>
      </w:r>
    </w:p>
    <w:p>
      <w:pPr>
        <w:spacing w:after="110"/>
      </w:pPr>
    </w:p>
    <w:tbl>
      <w:tblPr>
        <w:tblW w:type="dxa" w:w="10080"/>
        <w:tblBorders>
          <w:top w:val="single" w:color="D6D2C9" w:sz="4"/>
          <w:left w:val="single" w:color="D6D2C9" w:sz="4"/>
          <w:bottom w:val="single" w:color="D6D2C9" w:sz="4"/>
          <w:right w:val="single" w:color="D6D2C9" w:sz="4"/>
          <w:insideH w:val="single" w:color="D6D2C9" w:sz="4"/>
          <w:insideV w:val="single" w:color="D6D2C9" w:sz="4"/>
        </w:tblBorders>
      </w:tblPr>
      <w:tblGrid>
        <w:gridCol w:w="1500"/>
        <w:gridCol w:w="2900"/>
        <w:gridCol w:w="5680"/>
      </w:tblGrid>
      <w:tr>
        <w:trPr>
          <w:tblHeader/>
        </w:trPr>
        <w:tc>
          <w:tcPr>
            <w:tcW w:type="dxa" w:w="1500"/>
            <w:shd w:fill="F4F2EE" w:color="auto" w:val="clear"/>
            <w:tcMar>
              <w:top w:type="dxa" w:w="60"/>
              <w:left w:type="dxa" w:w="90"/>
              <w:bottom w:type="dxa" w:w="60"/>
              <w:right w:type="dxa" w:w="90"/>
            </w:tcMar>
          </w:tcPr>
          <w:p>
            <w:pPr>
              <w:spacing w:after="0" w:line="250"/>
            </w:pPr>
            <w:r>
              <w:rPr>
                <w:b/>
                <w:bCs/>
                <w:i w:val="false"/>
                <w:iCs w:val="false"/>
                <w:color w:val="33302B"/>
                <w:sz w:val="18"/>
                <w:szCs w:val="18"/>
              </w:rPr>
              <w:t xml:space="preserve">Chapter</w:t>
            </w:r>
          </w:p>
        </w:tc>
        <w:tc>
          <w:tcPr>
            <w:tcW w:type="dxa" w:w="2900"/>
            <w:shd w:fill="F4F2EE" w:color="auto" w:val="clear"/>
            <w:tcMar>
              <w:top w:type="dxa" w:w="60"/>
              <w:left w:type="dxa" w:w="90"/>
              <w:bottom w:type="dxa" w:w="60"/>
              <w:right w:type="dxa" w:w="90"/>
            </w:tcMar>
          </w:tcPr>
          <w:p>
            <w:pPr>
              <w:spacing w:after="0" w:line="250"/>
            </w:pPr>
            <w:r>
              <w:rPr>
                <w:b/>
                <w:bCs/>
                <w:i w:val="false"/>
                <w:iCs w:val="false"/>
                <w:color w:val="33302B"/>
                <w:sz w:val="18"/>
                <w:szCs w:val="18"/>
              </w:rPr>
              <w:t xml:space="preserve">Subject</w:t>
            </w:r>
          </w:p>
        </w:tc>
        <w:tc>
          <w:tcPr>
            <w:tcW w:type="dxa" w:w="5680"/>
            <w:shd w:fill="F4F2EE" w:color="auto" w:val="clear"/>
            <w:tcMar>
              <w:top w:type="dxa" w:w="60"/>
              <w:left w:type="dxa" w:w="90"/>
              <w:bottom w:type="dxa" w:w="60"/>
              <w:right w:type="dxa" w:w="90"/>
            </w:tcMar>
          </w:tcPr>
          <w:p>
            <w:pPr>
              <w:spacing w:after="0" w:line="250"/>
            </w:pPr>
            <w:r>
              <w:rPr>
                <w:b/>
                <w:bCs/>
                <w:i w:val="false"/>
                <w:iCs w:val="false"/>
                <w:color w:val="33302B"/>
                <w:sz w:val="18"/>
                <w:szCs w:val="18"/>
              </w:rPr>
              <w:t xml:space="preserve">Why it matters to you</w:t>
            </w:r>
          </w:p>
        </w:tc>
      </w:tr>
      <w:tr>
        <w:tc>
          <w:tcPr>
            <w:tcW w:type="dxa" w:w="15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4 and 18</w:t>
            </w:r>
          </w:p>
        </w:tc>
        <w:tc>
          <w:tcPr>
            <w:tcW w:type="dxa" w:w="29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Accountability as a property; governance at volume</w:t>
            </w:r>
          </w:p>
        </w:tc>
        <w:tc>
          <w:tcPr>
            <w:tcW w:type="dxa" w:w="56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core. Chapter 18 is where the distinction between a record and a reconstruction is made properly, and it is the chapter to hand an instructing solicitor.</w:t>
            </w:r>
          </w:p>
        </w:tc>
      </w:tr>
      <w:tr>
        <w:tc>
          <w:tcPr>
            <w:tcW w:type="dxa" w:w="15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12</w:t>
            </w:r>
          </w:p>
        </w:tc>
        <w:tc>
          <w:tcPr>
            <w:tcW w:type="dxa" w:w="29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Context is not data</w:t>
            </w:r>
          </w:p>
        </w:tc>
        <w:tc>
          <w:tcPr>
            <w:tcW w:type="dxa" w:w="56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meaning error: every value intact, the significance lost. This is section 4 below — the pleading theory that avoids the expert battle.</w:t>
            </w:r>
          </w:p>
        </w:tc>
      </w:tr>
      <w:tr>
        <w:tc>
          <w:tcPr>
            <w:tcW w:type="dxa" w:w="15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8</w:t>
            </w:r>
          </w:p>
        </w:tc>
        <w:tc>
          <w:tcPr>
            <w:tcW w:type="dxa" w:w="29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Identity as data</w:t>
            </w:r>
          </w:p>
        </w:tc>
        <w:tc>
          <w:tcPr>
            <w:tcW w:type="dxa" w:w="56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Authority and attribution of the act. Where the "who was allowed to do this" question is answered, and where the answer is usually absent.</w:t>
            </w:r>
          </w:p>
        </w:tc>
      </w:tr>
      <w:tr>
        <w:tc>
          <w:tcPr>
            <w:tcW w:type="dxa" w:w="15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10</w:t>
            </w:r>
          </w:p>
        </w:tc>
        <w:tc>
          <w:tcPr>
            <w:tcW w:type="dxa" w:w="29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Trust at the seams</w:t>
            </w:r>
          </w:p>
        </w:tc>
        <w:tc>
          <w:tcPr>
            <w:tcW w:type="dxa" w:w="56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Provenance and origin. Relevant wherever injected or unverified content influenced a decision.</w:t>
            </w:r>
          </w:p>
        </w:tc>
      </w:tr>
      <w:tr>
        <w:tc>
          <w:tcPr>
            <w:tcW w:type="dxa" w:w="15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14 and 15</w:t>
            </w:r>
          </w:p>
        </w:tc>
        <w:tc>
          <w:tcPr>
            <w:tcW w:type="dxa" w:w="29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Durability; memory as a target</w:t>
            </w:r>
          </w:p>
        </w:tc>
        <w:tc>
          <w:tcPr>
            <w:tcW w:type="dxa" w:w="56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Retention, alteration, and the case where the record itself was the attack surface.</w:t>
            </w:r>
          </w:p>
        </w:tc>
      </w:tr>
      <w:tr>
        <w:tc>
          <w:tcPr>
            <w:tcW w:type="dxa" w:w="15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22</w:t>
            </w:r>
          </w:p>
        </w:tc>
        <w:tc>
          <w:tcPr>
            <w:tcW w:type="dxa" w:w="29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nine-test protocol</w:t>
            </w:r>
          </w:p>
        </w:tc>
        <w:tc>
          <w:tcPr>
            <w:tcW w:type="dxa" w:w="56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Two of the nine are disputes instruments outright — the last-month test and the origin test. Sections 3 and 5 use them.</w:t>
            </w:r>
          </w:p>
        </w:tc>
      </w:tr>
      <w:tr>
        <w:tc>
          <w:tcPr>
            <w:tcW w:type="dxa" w:w="15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16 and 17</w:t>
            </w:r>
          </w:p>
        </w:tc>
        <w:tc>
          <w:tcPr>
            <w:tcW w:type="dxa" w:w="29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Isolation; sovereignty</w:t>
            </w:r>
          </w:p>
        </w:tc>
        <w:tc>
          <w:tcPr>
            <w:tcW w:type="dxa" w:w="56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Read only if your case involves a tenancy leak, cross-border transfer, or a supplier dependency.</w:t>
            </w:r>
          </w:p>
        </w:tc>
      </w:tr>
      <w:tr>
        <w:tc>
          <w:tcPr>
            <w:tcW w:type="dxa" w:w="15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Skip</w:t>
            </w:r>
          </w:p>
        </w:tc>
        <w:tc>
          <w:tcPr>
            <w:tcW w:type="dxa" w:w="29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Chapters 2, 6, 19–21, 23</w:t>
            </w:r>
          </w:p>
        </w:tc>
        <w:tc>
          <w:tcPr>
            <w:tcW w:type="dxa" w:w="56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History, economics, infrastructure, and closing principles. Nothing you will put to a witness.</w:t>
            </w:r>
          </w:p>
        </w:tc>
      </w:tr>
    </w:tbl>
    <w:p>
      <w:pPr>
        <w:spacing w:after="140"/>
      </w:pPr>
    </w:p>
    <w:p>
      <w:pPr>
        <w:pStyle w:val="Heading1"/>
        <w:spacing w:after="130" w:before="300"/>
      </w:pPr>
      <w:r>
        <w:rPr>
          <w:b/>
          <w:bCs/>
          <w:color w:val="33302B"/>
          <w:sz w:val="29"/>
          <w:szCs w:val="29"/>
        </w:rPr>
        <w:t xml:space="preserve">4 · The meaning-error theory</w:t>
      </w:r>
    </w:p>
    <w:p>
      <w:pPr>
        <w:spacing w:after="120" w:before="0" w:line="276"/>
      </w:pPr>
      <w:r>
        <w:rPr>
          <w:b w:val="false"/>
          <w:bCs w:val="false"/>
          <w:i w:val="false"/>
          <w:iCs w:val="false"/>
          <w:color w:val="1B1A18"/>
          <w:sz w:val="20"/>
          <w:szCs w:val="20"/>
        </w:rPr>
        <w:t xml:space="preserve">This is the most useful pleading idea in the book for contentious work, and it is not widely understood.</w:t>
      </w:r>
    </w:p>
    <w:p>
      <w:pPr>
        <w:spacing w:after="120" w:before="0" w:line="276"/>
      </w:pPr>
      <w:r>
        <w:rPr>
          <w:b w:val="false"/>
          <w:bCs w:val="false"/>
          <w:i w:val="false"/>
          <w:iCs w:val="false"/>
          <w:color w:val="1B1A18"/>
          <w:sz w:val="20"/>
          <w:szCs w:val="20"/>
        </w:rPr>
        <w:t xml:space="preserve">A limit of four hundred is a ceiling: above it, second authorisation is required. Work originates in one system, is evaluated in a second, and is executed by a third. The figure four hundred arrives at the third system as a number. The condition that made it a ceiling rather than a budget was never carried, because no interface between those systems was specified to carry it. An order is placed above the cap.</w:t>
      </w:r>
    </w:p>
    <w:p>
      <w:pPr>
        <w:spacing w:after="120" w:before="0" w:line="276"/>
      </w:pPr>
      <w:r>
        <w:rPr>
          <w:b w:val="false"/>
          <w:bCs w:val="false"/>
          <w:i w:val="false"/>
          <w:iCs w:val="false"/>
          <w:color w:val="1B1A18"/>
          <w:sz w:val="20"/>
          <w:szCs w:val="20"/>
        </w:rPr>
        <w:t xml:space="preserve">Notice what did not happen. No component malfunctioned. No model hallucinated. Every system met its specification and every value was accurate. The failure was that significance did not survive a boundary — and it is documentary. The interface specification either provided for the condition or it did not, and that is a matter of record rather than of expert opinion.</w:t>
      </w:r>
    </w:p>
    <w:p>
      <w:pPr>
        <w:spacing w:after="120" w:before="0" w:line="276"/>
      </w:pPr>
      <w:r>
        <w:rPr>
          <w:b w:val="false"/>
          <w:bCs w:val="false"/>
          <w:i w:val="false"/>
          <w:iCs w:val="false"/>
          <w:color w:val="1B1A18"/>
          <w:sz w:val="20"/>
          <w:szCs w:val="20"/>
        </w:rPr>
        <w:t xml:space="preserve">For a claimant, this reframes the case from "the AI was wrong" to "the defendant deployed a process in which a mandatory condition could not survive its own architecture, and that was knowable at design time." For a defendant, it is the theory to prepare for, and the defence is the interface specification.</w:t>
      </w:r>
    </w:p>
    <w:p>
      <w:pPr>
        <w:spacing w:after="120" w:before="0" w:line="276"/>
      </w:pPr>
      <w:r>
        <w:rPr>
          <w:b w:val="false"/>
          <w:bCs w:val="false"/>
          <w:i w:val="false"/>
          <w:iCs w:val="false"/>
          <w:color w:val="1B1A18"/>
          <w:sz w:val="20"/>
          <w:szCs w:val="20"/>
        </w:rPr>
        <w:t xml:space="preserve">The Mars Climate Orbiter is the canonical illustration and useful with a tribunal precisely because it is not about AI: a spacecraft was lost because a quantity crossed a boundary without its unit. Nothing was inaccurate. Everything was wrong.</w:t>
      </w:r>
    </w:p>
    <w:p>
      <w:pPr>
        <w:pStyle w:val="Heading1"/>
        <w:spacing w:after="130" w:before="300"/>
      </w:pPr>
      <w:r>
        <w:rPr>
          <w:b/>
          <w:bCs/>
          <w:color w:val="33302B"/>
          <w:sz w:val="29"/>
          <w:szCs w:val="29"/>
        </w:rPr>
        <w:t xml:space="preserve">5 · Disclosure requests, in priority order</w:t>
      </w:r>
    </w:p>
    <w:p>
      <w:pPr>
        <w:spacing w:after="140" w:line="276"/>
      </w:pPr>
      <w:r>
        <w:rPr>
          <w:i/>
          <w:iCs/>
          <w:color w:val="6E6A62"/>
          <w:sz w:val="20"/>
          <w:szCs w:val="20"/>
        </w:rPr>
        <w:t xml:space="preserve">Ordered by how quickly the material degrades. Retention periods are short and some of this is gone in months — verify the applicable periods in your jurisdiction, but do not wait to.</w:t>
      </w:r>
    </w:p>
    <w:p>
      <w:pPr>
        <w:spacing w:after="110"/>
      </w:pPr>
    </w:p>
    <w:tbl>
      <w:tblPr>
        <w:tblW w:type="dxa" w:w="10080"/>
        <w:tblBorders>
          <w:top w:val="single" w:color="D6D2C9" w:sz="4"/>
          <w:left w:val="single" w:color="D6D2C9" w:sz="4"/>
          <w:bottom w:val="single" w:color="D6D2C9" w:sz="4"/>
          <w:right w:val="single" w:color="D6D2C9" w:sz="4"/>
          <w:insideH w:val="single" w:color="D6D2C9" w:sz="4"/>
          <w:insideV w:val="single" w:color="D6D2C9" w:sz="4"/>
        </w:tblBorders>
      </w:tblPr>
      <w:tblGrid>
        <w:gridCol w:w="3300"/>
        <w:gridCol w:w="6780"/>
      </w:tblGrid>
      <w:tr>
        <w:trPr>
          <w:tblHeader/>
        </w:trPr>
        <w:tc>
          <w:tcPr>
            <w:tcW w:type="dxa" w:w="3300"/>
            <w:shd w:fill="F4F2EE" w:color="auto" w:val="clear"/>
            <w:tcMar>
              <w:top w:type="dxa" w:w="60"/>
              <w:left w:type="dxa" w:w="90"/>
              <w:bottom w:type="dxa" w:w="60"/>
              <w:right w:type="dxa" w:w="90"/>
            </w:tcMar>
          </w:tcPr>
          <w:p>
            <w:pPr>
              <w:spacing w:after="0" w:line="250"/>
            </w:pPr>
            <w:r>
              <w:rPr>
                <w:b/>
                <w:bCs/>
                <w:i w:val="false"/>
                <w:iCs w:val="false"/>
                <w:color w:val="33302B"/>
                <w:sz w:val="18"/>
                <w:szCs w:val="18"/>
              </w:rPr>
              <w:t xml:space="preserve">Request</w:t>
            </w:r>
          </w:p>
        </w:tc>
        <w:tc>
          <w:tcPr>
            <w:tcW w:type="dxa" w:w="6780"/>
            <w:shd w:fill="F4F2EE" w:color="auto" w:val="clear"/>
            <w:tcMar>
              <w:top w:type="dxa" w:w="60"/>
              <w:left w:type="dxa" w:w="90"/>
              <w:bottom w:type="dxa" w:w="60"/>
              <w:right w:type="dxa" w:w="90"/>
            </w:tcMar>
          </w:tcPr>
          <w:p>
            <w:pPr>
              <w:spacing w:after="0" w:line="250"/>
            </w:pPr>
            <w:r>
              <w:rPr>
                <w:b/>
                <w:bCs/>
                <w:i w:val="false"/>
                <w:iCs w:val="false"/>
                <w:color w:val="33302B"/>
                <w:sz w:val="18"/>
                <w:szCs w:val="18"/>
              </w:rPr>
              <w:t xml:space="preserve">Why, and what to watch for</w:t>
            </w:r>
          </w:p>
        </w:tc>
      </w:tr>
      <w:tr>
        <w:tc>
          <w:tcPr>
            <w:tcW w:type="dxa" w:w="33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Automatically generated logs for the period, in native form</w:t>
            </w:r>
          </w:p>
        </w:tc>
        <w:tc>
          <w:tcPr>
            <w:tcW w:type="dxa" w:w="67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Retention may be as little as six months under the AI Act regime, so this is the first request in every case. Native form matters: an exported report is a view, and views are selected.</w:t>
            </w:r>
          </w:p>
        </w:tc>
      </w:tr>
      <w:tr>
        <w:tc>
          <w:tcPr>
            <w:tcW w:type="dxa" w:w="33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The logging schema or specification</w:t>
            </w:r>
          </w:p>
        </w:tc>
        <w:tc>
          <w:tcPr>
            <w:tcW w:type="dxa" w:w="67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Establishes what the system was designed to capture at execution. The gap between the schema and the narrative produced in evidence is the case.</w:t>
            </w:r>
          </w:p>
        </w:tc>
      </w:tr>
      <w:tr>
        <w:tc>
          <w:tcPr>
            <w:tcW w:type="dxa" w:w="33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Rule, policy, and configuration version history with effective dates</w:t>
            </w:r>
          </w:p>
        </w:tc>
        <w:tc>
          <w:tcPr>
            <w:tcW w:type="dxa" w:w="67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Without it, nobody can establish which rule applied at the time. Frequently absent, and its absence is itself significant.</w:t>
            </w:r>
          </w:p>
        </w:tc>
      </w:tr>
      <w:tr>
        <w:tc>
          <w:tcPr>
            <w:tcW w:type="dxa" w:w="33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Interface and integration specifications between the systems involved</w:t>
            </w:r>
          </w:p>
        </w:tc>
        <w:tc>
          <w:tcPr>
            <w:tcW w:type="dxa" w:w="67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meaning-error theory lives here. What was each boundary specified to carry?</w:t>
            </w:r>
          </w:p>
        </w:tc>
      </w:tr>
      <w:tr>
        <w:tc>
          <w:tcPr>
            <w:tcW w:type="dxa" w:w="33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The authority or entitlement record, and its change history</w:t>
            </w:r>
          </w:p>
        </w:tc>
        <w:tc>
          <w:tcPr>
            <w:tcW w:type="dxa" w:w="67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Who was permitted to take this action, and when did that change? If the answer requires reading source code, say so on the record.</w:t>
            </w:r>
          </w:p>
        </w:tc>
      </w:tr>
      <w:tr>
        <w:tc>
          <w:tcPr>
            <w:tcW w:type="dxa" w:w="33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Provenance classification for any retrieved or injected content</w:t>
            </w:r>
          </w:p>
        </w:tc>
        <w:tc>
          <w:tcPr>
            <w:tcW w:type="dxa" w:w="67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Where an unverified document influenced a decision, this establishes whether the system could tell the difference.</w:t>
            </w:r>
          </w:p>
        </w:tc>
      </w:tr>
      <w:tr>
        <w:tc>
          <w:tcPr>
            <w:tcW w:type="dxa" w:w="33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Model and component change history</w:t>
            </w:r>
          </w:p>
        </w:tc>
        <w:tc>
          <w:tcPr>
            <w:tcW w:type="dxa" w:w="67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Establishes what the system was at the time, as distinct from what it is at trial. Suppliers change models quietly.</w:t>
            </w:r>
          </w:p>
        </w:tc>
      </w:tr>
      <w:tr>
        <w:tc>
          <w:tcPr>
            <w:tcW w:type="dxa" w:w="33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Any prior internal assessment, audit, or risk acceptance</w:t>
            </w:r>
          </w:p>
        </w:tc>
        <w:tc>
          <w:tcPr>
            <w:tcW w:type="dxa" w:w="67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Goes to knowledge. A documented decision to accept a residual risk is very different from ignorance of it.</w:t>
            </w:r>
          </w:p>
        </w:tc>
      </w:tr>
    </w:tbl>
    <w:p>
      <w:pPr>
        <w:pStyle w:val="Heading1"/>
        <w:spacing w:after="130" w:before="300"/>
      </w:pPr>
      <w:r>
        <w:rPr>
          <w:b/>
          <w:bCs/>
          <w:color w:val="33302B"/>
          <w:sz w:val="29"/>
          <w:szCs w:val="29"/>
        </w:rPr>
        <w:t xml:space="preserve">6 · Instructing the expert</w:t>
      </w:r>
    </w:p>
    <w:p>
      <w:pPr>
        <w:spacing w:after="120" w:before="0" w:line="276"/>
      </w:pPr>
      <w:r>
        <w:rPr>
          <w:b w:val="false"/>
          <w:bCs w:val="false"/>
          <w:i w:val="false"/>
          <w:iCs w:val="false"/>
          <w:color w:val="1B1A18"/>
          <w:sz w:val="20"/>
          <w:szCs w:val="20"/>
        </w:rPr>
        <w:t xml:space="preserve">The instruction that produces a useful report asks about structure, not about the model. Four questions do most of the work.</w:t>
      </w:r>
    </w:p>
    <w:p>
      <w:pPr>
        <w:pStyle w:val="ListParagraph"/>
        <w:numPr>
          <w:ilvl w:val="0"/>
          <w:numId w:val="3"/>
        </w:numPr>
        <w:spacing w:after="70" w:line="276"/>
      </w:pPr>
      <w:r>
        <w:rPr>
          <w:color w:val="1B1A18"/>
          <w:sz w:val="20"/>
          <w:szCs w:val="20"/>
        </w:rPr>
        <w:t xml:space="preserve">For each boundary the work crossed, what was the interface specified to carry, and what did it in fact carry?</w:t>
      </w:r>
    </w:p>
    <w:p>
      <w:pPr>
        <w:pStyle w:val="ListParagraph"/>
        <w:numPr>
          <w:ilvl w:val="0"/>
          <w:numId w:val="3"/>
        </w:numPr>
        <w:spacing w:after="70" w:line="276"/>
      </w:pPr>
      <w:r>
        <w:rPr>
          <w:color w:val="1B1A18"/>
          <w:sz w:val="20"/>
          <w:szCs w:val="20"/>
        </w:rPr>
        <w:t xml:space="preserve">Was the record of this transaction generated at execution, or assembled afterwards from separate sources? Identify each element and its origin.</w:t>
      </w:r>
    </w:p>
    <w:p>
      <w:pPr>
        <w:pStyle w:val="ListParagraph"/>
        <w:numPr>
          <w:ilvl w:val="0"/>
          <w:numId w:val="3"/>
        </w:numPr>
        <w:spacing w:after="70" w:line="276"/>
      </w:pPr>
      <w:r>
        <w:rPr>
          <w:color w:val="1B1A18"/>
          <w:sz w:val="20"/>
          <w:szCs w:val="20"/>
        </w:rPr>
        <w:t xml:space="preserve">Where was the rule said to have been breached actually enforced, and could any component reach the action without passing that point?</w:t>
      </w:r>
    </w:p>
    <w:p>
      <w:pPr>
        <w:pStyle w:val="ListParagraph"/>
        <w:numPr>
          <w:ilvl w:val="0"/>
          <w:numId w:val="3"/>
        </w:numPr>
        <w:spacing w:after="70" w:line="276"/>
      </w:pPr>
      <w:r>
        <w:rPr>
          <w:color w:val="1B1A18"/>
          <w:sz w:val="20"/>
          <w:szCs w:val="20"/>
        </w:rPr>
        <w:t xml:space="preserve">Could the same attribution be produced today for a transaction from a comparable period, by query, without investigation?</w:t>
      </w:r>
    </w:p>
    <w:p>
      <w:pPr>
        <w:spacing w:after="120" w:before="60" w:line="276"/>
      </w:pPr>
      <w:r>
        <w:rPr>
          <w:b w:val="false"/>
          <w:bCs w:val="false"/>
          <w:i w:val="false"/>
          <w:iCs w:val="false"/>
          <w:color w:val="1B1A18"/>
          <w:sz w:val="20"/>
          <w:szCs w:val="20"/>
        </w:rPr>
        <w:t xml:space="preserve">None of these requires access to model weights or training data, which matters twice over: the answers survive a trade-secret objection, and they survive a change of model between the events and the hearing.</w:t>
      </w:r>
    </w:p>
    <w:p>
      <w:pPr>
        <w:pStyle w:val="Heading1"/>
        <w:spacing w:after="130" w:before="300"/>
      </w:pPr>
      <w:r>
        <w:rPr>
          <w:b/>
          <w:bCs/>
          <w:color w:val="33302B"/>
          <w:sz w:val="29"/>
          <w:szCs w:val="29"/>
        </w:rPr>
        <w:t xml:space="preserve">7 · How to get this wrong</w:t>
      </w:r>
    </w:p>
    <w:p>
      <w:pPr>
        <w:pStyle w:val="ListParagraph"/>
        <w:numPr>
          <w:ilvl w:val="0"/>
          <w:numId w:val="3"/>
        </w:numPr>
        <w:spacing w:after="70" w:line="276"/>
      </w:pPr>
      <w:r>
        <w:rPr>
          <w:b/>
          <w:bCs/>
          <w:color w:val="1B1A18"/>
          <w:sz w:val="20"/>
          <w:szCs w:val="20"/>
        </w:rPr>
        <w:t xml:space="preserve">Pleading the model. </w:t>
      </w:r>
      <w:r>
        <w:rPr>
          <w:color w:val="1B1A18"/>
          <w:sz w:val="20"/>
          <w:szCs w:val="20"/>
        </w:rPr>
        <w:t xml:space="preserve">It invites the expert contest you are least likely to win and distracts from the documentary case.</w:t>
      </w:r>
    </w:p>
    <w:p>
      <w:pPr>
        <w:pStyle w:val="ListParagraph"/>
        <w:numPr>
          <w:ilvl w:val="0"/>
          <w:numId w:val="3"/>
        </w:numPr>
        <w:spacing w:after="70" w:line="276"/>
      </w:pPr>
      <w:r>
        <w:rPr>
          <w:b/>
          <w:bCs/>
          <w:color w:val="1B1A18"/>
          <w:sz w:val="20"/>
          <w:szCs w:val="20"/>
        </w:rPr>
        <w:t xml:space="preserve">Accepting a report as a record. </w:t>
      </w:r>
      <w:r>
        <w:rPr>
          <w:color w:val="1B1A18"/>
          <w:sz w:val="20"/>
          <w:szCs w:val="20"/>
        </w:rPr>
        <w:t xml:space="preserve">Always ask what was captured at execution. Always.</w:t>
      </w:r>
    </w:p>
    <w:p>
      <w:pPr>
        <w:pStyle w:val="ListParagraph"/>
        <w:numPr>
          <w:ilvl w:val="0"/>
          <w:numId w:val="3"/>
        </w:numPr>
        <w:spacing w:after="70" w:line="276"/>
      </w:pPr>
      <w:r>
        <w:rPr>
          <w:b/>
          <w:bCs/>
          <w:color w:val="1B1A18"/>
          <w:sz w:val="20"/>
          <w:szCs w:val="20"/>
        </w:rPr>
        <w:t xml:space="preserve">Waiting on disclosure. </w:t>
      </w:r>
      <w:r>
        <w:rPr>
          <w:color w:val="1B1A18"/>
          <w:sz w:val="20"/>
          <w:szCs w:val="20"/>
        </w:rPr>
        <w:t xml:space="preserve">Log retention is measured in months. The most probative material is the first to disappear, and it disappears through ordinary operation rather than through anything improper.</w:t>
      </w:r>
    </w:p>
    <w:p>
      <w:pPr>
        <w:pStyle w:val="ListParagraph"/>
        <w:numPr>
          <w:ilvl w:val="0"/>
          <w:numId w:val="3"/>
        </w:numPr>
        <w:spacing w:after="70" w:line="276"/>
      </w:pPr>
      <w:r>
        <w:rPr>
          <w:b/>
          <w:bCs/>
          <w:color w:val="1B1A18"/>
          <w:sz w:val="20"/>
          <w:szCs w:val="20"/>
        </w:rPr>
        <w:t xml:space="preserve">Over-reading Horizon. </w:t>
      </w:r>
      <w:r>
        <w:rPr>
          <w:color w:val="1B1A18"/>
          <w:sz w:val="20"/>
          <w:szCs w:val="20"/>
        </w:rPr>
        <w:t xml:space="preserve">It is authority for the unreliability of system evidence treated as inherently trustworthy. It is not authority that all automated records are unreliable, and pushing it that far will cost you the tribunal’s confidence.</w:t>
      </w:r>
    </w:p>
    <w:p>
      <w:pPr>
        <w:pStyle w:val="ListParagraph"/>
        <w:numPr>
          <w:ilvl w:val="0"/>
          <w:numId w:val="3"/>
        </w:numPr>
        <w:spacing w:after="70" w:line="276"/>
      </w:pPr>
      <w:r>
        <w:rPr>
          <w:b/>
          <w:bCs/>
          <w:color w:val="1B1A18"/>
          <w:sz w:val="20"/>
          <w:szCs w:val="20"/>
        </w:rPr>
        <w:t xml:space="preserve">Using the framework’s vocabulary in a pleading. </w:t>
      </w:r>
      <w:r>
        <w:rPr>
          <w:color w:val="1B1A18"/>
          <w:sz w:val="20"/>
          <w:szCs w:val="20"/>
        </w:rPr>
        <w:t xml:space="preserve">Custody, crossings, and seams are analytical terms from a book with no legal status. Plead your own doctrine; use the framework to work out what to ask for.</w:t>
      </w:r>
    </w:p>
    <w:p>
      <w:pPr>
        <w:pStyle w:val="Heading1"/>
        <w:spacing w:after="130" w:before="300"/>
      </w:pPr>
      <w:r>
        <w:rPr>
          <w:b/>
          <w:bCs/>
          <w:color w:val="33302B"/>
          <w:sz w:val="29"/>
          <w:szCs w:val="29"/>
        </w:rPr>
        <w:t xml:space="preserve">8 · Limits</w:t>
      </w:r>
    </w:p>
    <w:p>
      <w:pPr>
        <w:spacing w:after="120" w:before="0" w:line="276"/>
      </w:pPr>
      <w:r>
        <w:rPr>
          <w:b w:val="false"/>
          <w:bCs w:val="false"/>
          <w:i w:val="false"/>
          <w:iCs w:val="false"/>
          <w:color w:val="1B1A18"/>
          <w:sz w:val="20"/>
          <w:szCs w:val="20"/>
        </w:rPr>
        <w:t xml:space="preserve">This addresses what a structure carried across its boundaries. It does not address accuracy, bias, or fundamental-rights impact, and it is not a theory of liability in any jurisdiction — the doctrine is yours. Case references are given as records, not as authorities for any proposition of law; read the primary sources. Nothing here is legal advice.</w:t>
      </w:r>
    </w:p>
    <w:p>
      <w:pPr>
        <w:pBdr>
          <w:top w:val="single" w:color="D6D2C9" w:sz="4" w:space="8"/>
        </w:pBdr>
        <w:spacing w:after="100" w:before="360"/>
      </w:pPr>
    </w:p>
    <w:p>
      <w:pPr>
        <w:spacing w:after="60"/>
      </w:pPr>
      <w:r>
        <w:rPr>
          <w:b/>
          <w:bCs/>
          <w:color w:val="33302B"/>
          <w:sz w:val="17"/>
          <w:szCs w:val="17"/>
        </w:rPr>
        <w:t xml:space="preserve">Author’s note</w:t>
      </w:r>
    </w:p>
    <w:p>
      <w:pPr>
        <w:spacing w:after="0" w:line="250"/>
      </w:pPr>
      <w:r>
        <w:rPr>
          <w:color w:val="6E6A62"/>
          <w:sz w:val="17"/>
          <w:szCs w:val="17"/>
        </w:rPr>
        <w:t xml:space="preserve">The content of this document is the author’s. The framework, the six properties, the four axioms, the nine tests and the consequence records are drawn from </w:t>
      </w:r>
      <w:r>
        <w:rPr>
          <w:i/>
          <w:iCs/>
          <w:color w:val="6E6A62"/>
          <w:sz w:val="17"/>
          <w:szCs w:val="17"/>
        </w:rPr>
        <w:t xml:space="preserve">What the Structure Does Not Carry</w:t>
      </w:r>
      <w:r>
        <w:rPr>
          <w:color w:val="6E6A62"/>
          <w:sz w:val="17"/>
          <w:szCs w:val="17"/>
        </w:rPr>
        <w:t xml:space="preserve"> (Georg Zangl, 2026). The document was drafted with the assistance of Claude, an AI assistant made by Anthropic. The author has reviewed it and holds editorial responsibility for it.</w:t>
      </w:r>
    </w:p>
    <w:sectPr>
      <w:headerReference w:type="default" r:id="rId7"/>
      <w:footerReference w:type="default" r:id="rId8"/>
      <w:headerReference w:type="first" r:id="rId10"/>
      <w:footerReference w:type="first" r:id="rId11"/>
      <w:headerReference w:type="even" r:id="rId12"/>
      <w:footerReference w:type="even" r:id="rId13"/>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color w:val="6E6A62"/>
        <w:sz w:val="16"/>
        <w:szCs w:val="16"/>
      </w:rPr>
      <w:t xml:space="preserve">MZ-LAW-003 v1.0  •  practice guidance — not legal advice  •  Page </w:t>
    </w:r>
    <w:r>
      <w:rPr>
        <w:color w:val="6E6A62"/>
        <w:sz w:val="16"/>
        <w:szCs w:val="16"/>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color w:val="6E6A62"/>
        <w:sz w:val="16"/>
        <w:szCs w:val="16"/>
      </w:rPr>
      <w:t xml:space="preserve">MZ-LAW-003 · for disputes counsel and litigators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lvl w:ilvl="1" w15:tentative="1">
      <w:start w:val="1"/>
      <w:numFmt w:val="bullet"/>
      <w:lvlText w:val="–"/>
      <w:lvlJc w:val="left"/>
      <w:pPr>
        <w:ind w:left="680" w:hanging="200"/>
      </w:pPr>
    </w:lvl>
  </w:abstractNum>
  <w:abstractNum w:abstractNumId="3"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B1A1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Georgia" w:cs="Georgia" w:eastAsia="Georgia" w:hAnsi="Georgia"/>
      <w:b/>
      <w:bCs/>
      <w:color w:val="33302B"/>
      <w:sz w:val="29"/>
      <w:szCs w:val="29"/>
    </w:rPr>
  </w:style>
  <w:style w:type="paragraph" w:styleId="Heading2">
    <w:name w:val="Heading 2"/>
    <w:basedOn w:val="Normal"/>
    <w:next w:val="Normal"/>
    <w:qFormat/>
    <w:rPr>
      <w:rFonts w:ascii="Georgia" w:cs="Georgia" w:eastAsia="Georgia" w:hAnsi="Georgia"/>
      <w:b/>
      <w:bCs/>
      <w:color w:val="33302B"/>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2026-08-18T06:30:51.454Z</dcterms:created>
  <dcterms:modified xsi:type="dcterms:W3CDTF">2026-08-18T06:30:51.455Z</dcterms:modified>
</cp:coreProperties>
</file>

<file path=docProps/custom.xml><?xml version="1.0" encoding="utf-8"?>
<Properties xmlns="http://schemas.openxmlformats.org/officeDocument/2006/custom-properties" xmlns:vt="http://schemas.openxmlformats.org/officeDocument/2006/docPropsVTypes"/>
</file>