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Instructor guide · self-contained</w:t>
      </w:r>
    </w:p>
    <w:p>
      <w:pPr>
        <w:spacing w:after="60"/>
        <w:jc w:val="center"/>
      </w:pPr>
      <w:r>
        <w:rPr>
          <w:b/>
          <w:bCs/>
          <w:color w:val="1B1A18"/>
          <w:sz w:val="38"/>
          <w:szCs w:val="38"/>
        </w:rPr>
        <w:t xml:space="preserve">PCERT-FS — Custody in the Regulated Institution</w:t>
      </w:r>
    </w:p>
    <w:p>
      <w:pPr>
        <w:spacing w:after="150"/>
        <w:jc w:val="center"/>
      </w:pPr>
      <w:r>
        <w:rPr>
          <w:i/>
          <w:iCs/>
          <w:color w:val="6E6A62"/>
          <w:sz w:val="23"/>
          <w:szCs w:val="23"/>
        </w:rPr>
        <w:t xml:space="preserve">Instructor guide carrying its own content — 6 modules</w:t>
      </w:r>
    </w:p>
    <w:p>
      <w:pPr>
        <w:spacing w:after="40"/>
        <w:jc w:val="center"/>
      </w:pPr>
      <w:r>
        <w:rPr>
          <w:color w:val="1B1A18"/>
          <w:sz w:val="20"/>
          <w:szCs w:val="20"/>
        </w:rPr>
        <w:t xml:space="preserve">Teaching a 6-module financial services cohort programme</w:t>
      </w:r>
    </w:p>
    <w:p>
      <w:pPr>
        <w:spacing w:after="220"/>
        <w:jc w:val="center"/>
      </w:pPr>
      <w:r>
        <w:rPr>
          <w:b/>
          <w:bCs/>
          <w:color w:val="33302B"/>
          <w:sz w:val="18"/>
          <w:szCs w:val="18"/>
        </w:rPr>
        <w:t xml:space="preserve">MZ-EDU-IG-FS v2.0 · 17 August 2026 · no book lookup required</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What is different about this guide. </w:t>
            </w:r>
            <w:r>
              <w:rPr>
                <w:color w:val="1B1A18"/>
                <w:sz w:val="20"/>
                <w:szCs w:val="20"/>
              </w:rPr>
              <w:t xml:space="preserve">It carries the substance rather than pointing at it. Part A states the law, the derivation, all six properties, the four axioms, the protocol and the rules in full. Part B gives every module what to teach, in what order, the question that does the work, and the errors to expect — with the content restated inline. Part C carries the case facts. Nothing in this guide requires opening the book, and no chapter number appears in Part B except where a student is being sent to read.</w:t>
            </w:r>
          </w:p>
          <w:p>
            <w:pPr>
              <w:spacing w:after="0" w:line="264"/>
            </w:pPr>
            <w:r>
              <w:rPr>
                <w:b/>
                <w:bCs/>
                <w:color w:val="1B1A18"/>
                <w:sz w:val="20"/>
                <w:szCs w:val="20"/>
              </w:rPr>
              <w:t xml:space="preserve">How to use it on the morning of a session. </w:t>
            </w:r>
            <w:r>
              <w:rPr>
                <w:color w:val="1B1A18"/>
                <w:sz w:val="20"/>
                <w:szCs w:val="20"/>
              </w:rPr>
              <w:t xml:space="preserve">Read that module’s entry in Part B, then the Part A sections it names. Ten minutes. The Part A sections are worth reading once in full before the course opens, because several modules depend on the derivation holding together.</w:t>
            </w:r>
          </w:p>
        </w:tc>
      </w:tr>
    </w:tbl>
    <w:p>
      <w:pPr>
        <w:pStyle w:val="Heading1"/>
        <w:spacing w:after="130" w:before="300"/>
      </w:pPr>
      <w:r>
        <w:rPr>
          <w:b/>
          <w:bCs/>
          <w:color w:val="33302B"/>
          <w:sz w:val="29"/>
          <w:szCs w:val="29"/>
        </w:rPr>
        <w:t xml:space="preserve">Before the course opens</w:t>
      </w:r>
    </w:p>
    <w:p>
      <w:pPr>
        <w:spacing w:after="120" w:before="0" w:line="276"/>
      </w:pPr>
      <w:r>
        <w:rPr>
          <w:b w:val="false"/>
          <w:bCs w:val="false"/>
          <w:i w:val="false"/>
          <w:iCs w:val="false"/>
          <w:color w:val="1B1A18"/>
          <w:sz w:val="20"/>
          <w:szCs w:val="20"/>
        </w:rPr>
        <w:t xml:space="preserve">The one thing to get right: this cohort does not need to be persuaded that governance matters. They run it. What they lack is the answer to two questions — can this control be implemented as written, and what evidence will exist afterwards. Teach to that gap.</w:t>
      </w:r>
    </w:p>
    <w:p>
      <w:pPr>
        <w:spacing w:after="120" w:before="0" w:line="276"/>
      </w:pPr>
      <w:r>
        <w:rPr>
          <w:b w:val="false"/>
          <w:bCs w:val="false"/>
          <w:i w:val="false"/>
          <w:iCs w:val="false"/>
          <w:color w:val="1B1A18"/>
          <w:sz w:val="20"/>
          <w:szCs w:val="20"/>
        </w:rPr>
        <w:t xml:space="preserve">Mixed-line cohorts are strongly preferred and change how the sessions run. The first line knows what the systems actually do and has learned that saying a control does not work is unrewarded; the second line needs a way to challenge architecture without engineering expertise, which the address test supplies; internal audit has the sharpest unmet need in the institution and should be told in module 1 that the protocol requires no source code, weights or training data; and the finance function, whose output is personally attested, will reach the evidence argument first and can be used to pull the room along.</w:t>
      </w:r>
    </w:p>
    <w:p>
      <w:pPr>
        <w:pStyle w:val="Heading1"/>
        <w:spacing w:after="130" w:before="300"/>
      </w:pPr>
      <w:r>
        <w:rPr>
          <w:b/>
          <w:bCs/>
          <w:color w:val="33302B"/>
          <w:sz w:val="29"/>
          <w:szCs w:val="29"/>
        </w:rPr>
        <w:t xml:space="preserve">Part A · The argument in full</w:t>
      </w:r>
    </w:p>
    <w:p>
      <w:pPr>
        <w:spacing w:after="140" w:line="276"/>
      </w:pPr>
      <w:r>
        <w:rPr>
          <w:i/>
          <w:iCs/>
          <w:color w:val="6E6A62"/>
          <w:sz w:val="20"/>
          <w:szCs w:val="20"/>
        </w:rPr>
        <w:t xml:space="preserve">Everything an instructor needs in order to teach this course, stated here rather than referenced. No chapter lookup is required for any session in Part B. Read Part A once before the course opens; consult individual sections before individual sessions.</w:t>
      </w:r>
    </w:p>
    <w:p>
      <w:pPr>
        <w:pStyle w:val="Heading2"/>
        <w:spacing w:after="90" w:before="220"/>
      </w:pPr>
      <w:r>
        <w:rPr>
          <w:b/>
          <w:bCs/>
          <w:color w:val="33302B"/>
          <w:sz w:val="23"/>
          <w:szCs w:val="23"/>
        </w:rPr>
        <w:t xml:space="preserve">A.1 · The two observations and the law</w:t>
      </w:r>
    </w:p>
    <w:p>
      <w:pPr>
        <w:spacing w:after="120" w:before="0" w:line="276"/>
      </w:pPr>
      <w:r>
        <w:rPr>
          <w:b w:val="false"/>
          <w:bCs w:val="false"/>
          <w:i w:val="false"/>
          <w:iCs w:val="false"/>
          <w:color w:val="1B1A18"/>
          <w:sz w:val="20"/>
          <w:szCs w:val="20"/>
        </w:rPr>
        <w:t xml:space="preserve">The book builds on two observations. First: an enterprise is not its systems. Systems are replaced continuously — every application in a large institution will be replaced within a working lifetime — and the enterprise persists across every replacement, so whatever the enterprise is, it is not the equipment. Second: a layer of people has been holding the enterprise together at the joints between systems, continuously, for decades, and that work has never appeared in an architecture diagram or a budget line because it was salaried and therefore invisible.</w:t>
      </w:r>
    </w:p>
    <w:p>
      <w:pPr>
        <w:spacing w:after="10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The law. </w:t>
            </w:r>
            <w:r>
              <w:rPr>
                <w:i/>
                <w:iCs/>
                <w:color w:val="1B1A18"/>
                <w:sz w:val="20"/>
                <w:szCs w:val="20"/>
              </w:rPr>
              <w:t xml:space="preserve">Enterprise architecture is the custody of organisational properties under movement.</w:t>
            </w:r>
          </w:p>
          <w:p>
            <w:pPr>
              <w:spacing w:after="0" w:line="264"/>
            </w:pPr>
            <w:r>
              <w:rPr>
                <w:b/>
                <w:bCs/>
                <w:color w:val="1B1A18"/>
                <w:sz w:val="20"/>
                <w:szCs w:val="20"/>
              </w:rPr>
              <w:t xml:space="preserve">The unit. </w:t>
            </w:r>
            <w:r>
              <w:rPr>
                <w:i/>
                <w:iCs/>
                <w:color w:val="1B1A18"/>
                <w:sz w:val="20"/>
                <w:szCs w:val="20"/>
              </w:rPr>
              <w:t xml:space="preserve">The unit of enterprise architecture is the crossing.</w:t>
            </w:r>
          </w:p>
        </w:tc>
      </w:tr>
    </w:tbl>
    <w:p>
      <w:pPr>
        <w:spacing w:after="120"/>
      </w:pPr>
    </w:p>
    <w:p>
      <w:pPr>
        <w:spacing w:after="120" w:before="0" w:line="276"/>
      </w:pPr>
      <w:r>
        <w:rPr>
          <w:b w:val="false"/>
          <w:bCs w:val="false"/>
          <w:i w:val="false"/>
          <w:iCs w:val="false"/>
          <w:color w:val="1B1A18"/>
          <w:sz w:val="20"/>
          <w:szCs w:val="20"/>
        </w:rPr>
        <w:t xml:space="preserve">Read the law as a redefinition of the discipline, because that is what it is. The conventional understanding — that enterprise architecture is the design and rationalisation of systems — targets the replaceable part. Designing systems well is necessary and honourable work but it is not the essential work, any more than facilities management is, however necessary buildings may be.</w:t>
      </w:r>
    </w:p>
    <w:p>
      <w:pPr>
        <w:spacing w:after="120" w:before="0" w:line="276"/>
      </w:pPr>
      <w:r>
        <w:rPr>
          <w:b w:val="false"/>
          <w:bCs w:val="false"/>
          <w:i w:val="false"/>
          <w:iCs w:val="false"/>
          <w:color w:val="1B1A18"/>
          <w:sz w:val="20"/>
          <w:szCs w:val="20"/>
        </w:rPr>
        <w:t xml:space="preserve">The shift of unit, from the box to the boundary between boxes, is the most consequential move in the book. Systems fail loudly: alarms fire, dashboards redden, people are paged. Crossings fail silently. Nothing alerts, because from each system’s point of view nothing went wrong, and the loss is discovered later as an outcome that is individually explicable and collectively wrong.</w:t>
      </w:r>
    </w:p>
    <w:p>
      <w:pPr>
        <w:pStyle w:val="Heading2"/>
        <w:spacing w:after="90" w:before="220"/>
      </w:pPr>
      <w:r>
        <w:rPr>
          <w:b/>
          <w:bCs/>
          <w:color w:val="33302B"/>
          <w:sz w:val="23"/>
          <w:szCs w:val="23"/>
        </w:rPr>
        <w:t xml:space="preserve">A.2 · Why exactly six properties</w:t>
      </w:r>
    </w:p>
    <w:p>
      <w:pPr>
        <w:spacing w:after="120" w:before="0" w:line="276"/>
      </w:pPr>
      <w:r>
        <w:rPr>
          <w:b w:val="false"/>
          <w:bCs w:val="false"/>
          <w:i w:val="false"/>
          <w:iCs w:val="false"/>
          <w:color w:val="1B1A18"/>
          <w:sz w:val="20"/>
          <w:szCs w:val="20"/>
        </w:rPr>
        <w:t xml:space="preserve">Students at every level ask why six, and the derivation is the answer. It is not a list gathered from observation; it falls out of the structure of a crossing.</w:t>
      </w:r>
    </w:p>
    <w:p>
      <w:pPr>
        <w:spacing w:after="120" w:before="0" w:line="276"/>
      </w:pPr>
      <w:r>
        <w:rPr>
          <w:b w:val="false"/>
          <w:bCs w:val="false"/>
          <w:i w:val="false"/>
          <w:iCs w:val="false"/>
          <w:color w:val="1B1A18"/>
          <w:sz w:val="20"/>
          <w:szCs w:val="20"/>
        </w:rPr>
        <w:t xml:space="preserve">A crossing is a single act of work passing a boundary, and three things must survive it or the act ceases to be the enterprise’s. What the work means must survive, or the far side receives data and supplies its own significance — context. The right under which it proceeds must survive, or the far side cannot act, or acts without sanction — authority. The trace of who acted, under which right, must survive, or the act cannot be attributed afterwards — accountability. Meaning, right and trace exhaust what one crossing must carry: what the work is, who stands behind it, and what it leaves. And each fails in a way the other two cannot detect: authority does not repair a misunderstanding, a record does not confer a right, and meaning does not attribute an action.</w:t>
      </w:r>
    </w:p>
    <w:p>
      <w:pPr>
        <w:spacing w:after="120" w:before="0" w:line="276"/>
      </w:pPr>
      <w:r>
        <w:rPr>
          <w:b w:val="false"/>
          <w:bCs w:val="false"/>
          <w:i w:val="false"/>
          <w:iCs w:val="false"/>
          <w:color w:val="1B1A18"/>
          <w:sz w:val="20"/>
          <w:szCs w:val="20"/>
        </w:rPr>
        <w:t xml:space="preserve">An enterprise is not one crossing but a field of them, extended in two dimensions. Across space, two further properties belong to the field rather than to any member: independent actors must advance one intent — coordination — and many systems must present one posture whichever door the work enters — coherence. Neither reduces to the per-crossing three, because every individual crossing can carry meaning, right and trace flawlessly while the crossings collectively pursue incompatible ends. And across time the field persists, which demands one property more: what the enterprise learned at one crossing must be available at every later one — memory.</w:t>
      </w:r>
    </w:p>
    <w:p>
      <w:pPr>
        <w:spacing w:after="120" w:before="0" w:line="276"/>
      </w:pPr>
      <w:r>
        <w:rPr>
          <w:b w:val="false"/>
          <w:bCs w:val="false"/>
          <w:i w:val="false"/>
          <w:iCs w:val="false"/>
          <w:color w:val="1B1A18"/>
          <w:sz w:val="20"/>
          <w:szCs w:val="20"/>
        </w:rPr>
        <w:t xml:space="preserve">Three properties of the crossing, two of the field in space, one of the field in time. The set is complete because a crossing has no fourth thing to carry and the field has no third dimension to extend into. It is minimal because each property owns a characteristic failure that no other member catches.</w:t>
      </w:r>
    </w:p>
    <w:p>
      <w:pPr>
        <w:spacing w:after="70" w:before="160"/>
      </w:pPr>
      <w:r>
        <w:rPr>
          <w:b/>
          <w:bCs/>
          <w:color w:val="57534A"/>
          <w:sz w:val="20"/>
          <w:szCs w:val="20"/>
        </w:rPr>
        <w:t xml:space="preserve">The collapse of the usual candidates — have this ready, it is asked every time</w:t>
      </w:r>
    </w:p>
    <w:p>
      <w:pPr>
        <w:pStyle w:val="ListParagraph"/>
        <w:numPr>
          <w:ilvl w:val="0"/>
          <w:numId w:val="2"/>
        </w:numPr>
        <w:spacing w:after="70" w:line="276"/>
      </w:pPr>
      <w:r>
        <w:rPr>
          <w:b/>
          <w:bCs/>
          <w:color w:val="1B1A18"/>
          <w:sz w:val="20"/>
          <w:szCs w:val="20"/>
        </w:rPr>
        <w:t xml:space="preserve">Security and confidentiality </w:t>
      </w:r>
      <w:r>
        <w:rPr>
          <w:color w:val="1B1A18"/>
          <w:sz w:val="20"/>
          <w:szCs w:val="20"/>
        </w:rPr>
        <w:t xml:space="preserve">are authority applied to reading and acting. A breach is an authority failure: a right that travelled to someone who did not hold it.</w:t>
      </w:r>
    </w:p>
    <w:p>
      <w:pPr>
        <w:pStyle w:val="ListParagraph"/>
        <w:numPr>
          <w:ilvl w:val="0"/>
          <w:numId w:val="2"/>
        </w:numPr>
        <w:spacing w:after="70" w:line="276"/>
      </w:pPr>
      <w:r>
        <w:rPr>
          <w:b/>
          <w:bCs/>
          <w:color w:val="1B1A18"/>
          <w:sz w:val="20"/>
          <w:szCs w:val="20"/>
        </w:rPr>
        <w:t xml:space="preserve">Privacy </w:t>
      </w:r>
      <w:r>
        <w:rPr>
          <w:color w:val="1B1A18"/>
          <w:sz w:val="20"/>
          <w:szCs w:val="20"/>
        </w:rPr>
        <w:t xml:space="preserve">is two of the six under a legal name — authority over who may touch personal data, and context binding that data to its purpose.</w:t>
      </w:r>
    </w:p>
    <w:p>
      <w:pPr>
        <w:pStyle w:val="ListParagraph"/>
        <w:numPr>
          <w:ilvl w:val="0"/>
          <w:numId w:val="2"/>
        </w:numPr>
        <w:spacing w:after="70" w:line="276"/>
      </w:pPr>
      <w:r>
        <w:rPr>
          <w:b/>
          <w:bCs/>
          <w:color w:val="1B1A18"/>
          <w:sz w:val="20"/>
          <w:szCs w:val="20"/>
        </w:rPr>
        <w:t xml:space="preserve">Auditability </w:t>
      </w:r>
      <w:r>
        <w:rPr>
          <w:color w:val="1B1A18"/>
          <w:sz w:val="20"/>
          <w:szCs w:val="20"/>
        </w:rPr>
        <w:t xml:space="preserve">is accountability observed over time. A system that carries accountability is auditable by construction, and one that does not cannot be made so by adding a feature with that name.</w:t>
      </w:r>
    </w:p>
    <w:p>
      <w:pPr>
        <w:pStyle w:val="ListParagraph"/>
        <w:numPr>
          <w:ilvl w:val="0"/>
          <w:numId w:val="2"/>
        </w:numPr>
        <w:spacing w:after="70" w:line="276"/>
      </w:pPr>
      <w:r>
        <w:rPr>
          <w:b/>
          <w:bCs/>
          <w:color w:val="1B1A18"/>
          <w:sz w:val="20"/>
          <w:szCs w:val="20"/>
        </w:rPr>
        <w:t xml:space="preserve">Integrity of the record </w:t>
      </w:r>
      <w:r>
        <w:rPr>
          <w:color w:val="1B1A18"/>
          <w:sz w:val="20"/>
          <w:szCs w:val="20"/>
        </w:rPr>
        <w:t xml:space="preserve">is memory’s ceremony condition, not a seventh obligation.</w:t>
      </w:r>
    </w:p>
    <w:p>
      <w:pPr>
        <w:pStyle w:val="ListParagraph"/>
        <w:numPr>
          <w:ilvl w:val="0"/>
          <w:numId w:val="2"/>
        </w:numPr>
        <w:spacing w:after="70" w:line="276"/>
      </w:pPr>
      <w:r>
        <w:rPr>
          <w:b/>
          <w:bCs/>
          <w:color w:val="1B1A18"/>
          <w:sz w:val="20"/>
          <w:szCs w:val="20"/>
        </w:rPr>
        <w:t xml:space="preserve">Compliance </w:t>
      </w:r>
      <w:r>
        <w:rPr>
          <w:color w:val="1B1A18"/>
          <w:sz w:val="20"/>
          <w:szCs w:val="20"/>
        </w:rPr>
        <w:t xml:space="preserve">is the clearest collapse of all: coherence pointed at an external rule-maker, evidenced by accountability, bounded by authority. An enterprise that holds the six is compliant on demand.</w:t>
      </w:r>
    </w:p>
    <w:p>
      <w:pPr>
        <w:pStyle w:val="Heading2"/>
        <w:spacing w:after="90" w:before="220"/>
      </w:pPr>
      <w:r>
        <w:rPr>
          <w:b/>
          <w:bCs/>
          <w:color w:val="33302B"/>
          <w:sz w:val="23"/>
          <w:szCs w:val="23"/>
        </w:rPr>
        <w:t xml:space="preserve">A.3 · The six properties, in full</w:t>
      </w:r>
    </w:p>
    <w:p>
      <w:pPr>
        <w:spacing w:after="140" w:line="276"/>
      </w:pPr>
      <w:r>
        <w:rPr>
          <w:i/>
          <w:iCs/>
          <w:color w:val="6E6A62"/>
          <w:sz w:val="20"/>
          <w:szCs w:val="20"/>
        </w:rPr>
        <w:t xml:space="preserve">Each property is given as definition, custody requirement, characteristic failure, and the diagnostic test. The failures are the teaching instrument: a missing property cannot be seen directly, but its absence can be recognised by the damage.</w:t>
      </w:r>
    </w:p>
    <w:p>
      <w:pPr>
        <w:spacing w:after="70" w:before="160"/>
      </w:pPr>
      <w:r>
        <w:rPr>
          <w:b/>
          <w:bCs/>
          <w:color w:val="57534A"/>
          <w:sz w:val="20"/>
          <w:szCs w:val="20"/>
        </w:rPr>
        <w:t xml:space="preserve">A.3.1 · Context</w:t>
      </w:r>
    </w:p>
    <w:p>
      <w:pPr>
        <w:spacing w:after="120" w:before="0" w:line="276"/>
      </w:pPr>
      <w:r>
        <w:rPr>
          <w:b w:val="false"/>
          <w:bCs w:val="false"/>
          <w:i w:val="false"/>
          <w:iCs w:val="false"/>
          <w:color w:val="1B1A18"/>
          <w:sz w:val="20"/>
          <w:szCs w:val="20"/>
        </w:rPr>
        <w:t xml:space="preserve">The meaning of the work: why it exists, what constraints bind it, what preceded it. Distinguished sharply from data — the entire landscape is built to move data and almost nothing in it is built to move context. Data survives every hop; context by default survives none. No schema carries significance; no interface specification has a field for why.</w:t>
      </w:r>
    </w:p>
    <w:p>
      <w:pPr>
        <w:spacing w:after="120" w:before="0" w:line="276"/>
      </w:pPr>
      <w:r>
        <w:rPr>
          <w:b w:val="false"/>
          <w:bCs w:val="false"/>
          <w:i w:val="false"/>
          <w:iCs w:val="false"/>
          <w:color w:val="1B1A18"/>
          <w:sz w:val="20"/>
          <w:szCs w:val="20"/>
        </w:rPr>
        <w:t xml:space="preserve">Custody requirement. That meaning travels with the work — that what arrives at each destination is not merely the payload but the payload’s significance.</w:t>
      </w:r>
    </w:p>
    <w:p>
      <w:pPr>
        <w:spacing w:after="120" w:before="0" w:line="276"/>
      </w:pPr>
      <w:r>
        <w:rPr>
          <w:b w:val="false"/>
          <w:bCs w:val="false"/>
          <w:i w:val="false"/>
          <w:iCs w:val="false"/>
          <w:color w:val="1B1A18"/>
          <w:sz w:val="20"/>
          <w:szCs w:val="20"/>
        </w:rPr>
        <w:t xml:space="preserve">Characteristic failure. The meaning error: the data arrived intact and signified the wrong thing. Invisible to every data-quality programme ever funded, because data quality measures the payload and the payload is fine. The chronic form is the reconstruction tax — the standing meetings, the clarifying emails, the premium paid for long-tenured staff, the whole apparatus by which organisations manually re-attach meaning their architecture strips off.</w:t>
      </w:r>
    </w:p>
    <w:p>
      <w:pPr>
        <w:spacing w:after="120" w:before="0" w:line="276"/>
      </w:pPr>
      <w:r>
        <w:rPr>
          <w:b w:val="false"/>
          <w:bCs w:val="false"/>
          <w:i/>
          <w:iCs/>
          <w:color w:val="6E6A62"/>
          <w:sz w:val="20"/>
          <w:szCs w:val="20"/>
        </w:rPr>
        <w:t xml:space="preserve">The test. Pick any piece of work mid-journey and ask the receiving side not what the data says, but what it means and why it is constrained. If the answer requires a phone call, context is not in custody.</w:t>
      </w:r>
    </w:p>
    <w:p>
      <w:pPr>
        <w:spacing w:after="70" w:before="160"/>
      </w:pPr>
      <w:r>
        <w:rPr>
          <w:b/>
          <w:bCs/>
          <w:color w:val="57534A"/>
          <w:sz w:val="20"/>
          <w:szCs w:val="20"/>
        </w:rPr>
        <w:t xml:space="preserve">A.3.2 · Authority</w:t>
      </w:r>
    </w:p>
    <w:p>
      <w:pPr>
        <w:spacing w:after="120" w:before="0" w:line="276"/>
      </w:pPr>
      <w:r>
        <w:rPr>
          <w:b w:val="false"/>
          <w:bCs w:val="false"/>
          <w:i w:val="false"/>
          <w:iCs w:val="false"/>
          <w:color w:val="1B1A18"/>
          <w:sz w:val="20"/>
          <w:szCs w:val="20"/>
        </w:rPr>
        <w:t xml:space="preserve">The structure of decision rights: who may decide what, within which limits, delegated by whom. In a coherent enterprise a single fabric woven from the top delegation downward. In the actual landscape, shredded into the permission models of individual applications — a dozen vendor dialects of roles and grants, none speaking to one another.</w:t>
      </w:r>
    </w:p>
    <w:p>
      <w:pPr>
        <w:spacing w:after="120" w:before="0" w:line="276"/>
      </w:pPr>
      <w:r>
        <w:rPr>
          <w:b w:val="false"/>
          <w:bCs w:val="false"/>
          <w:i w:val="false"/>
          <w:iCs w:val="false"/>
          <w:color w:val="1B1A18"/>
          <w:sz w:val="20"/>
          <w:szCs w:val="20"/>
        </w:rPr>
        <w:t xml:space="preserve">Custody requirement. That decision rights travel with the work and are enforced at the boundary the work crosses — not re-derived at each destination from whatever that destination’s permission model happens to express. When authority is re-derived per system, each system holds an opinion about who may do what, and the enterprise’s actual authority structure is the accidental intersection of those opinions.</w:t>
      </w:r>
    </w:p>
    <w:p>
      <w:pPr>
        <w:spacing w:after="120" w:before="0" w:line="276"/>
      </w:pPr>
      <w:r>
        <w:rPr>
          <w:b w:val="false"/>
          <w:bCs w:val="false"/>
          <w:i w:val="false"/>
          <w:iCs w:val="false"/>
          <w:color w:val="1B1A18"/>
          <w:sz w:val="20"/>
          <w:szCs w:val="20"/>
        </w:rPr>
        <w:t xml:space="preserve">Characteristic failure. Fragmentation: the organisation can no longer answer who can decide this without consulting administration consoles, and audit becomes archaeology. An enterprise that cannot state its own decision rights without reading vendor configuration still exercises authority but no longer owns the representation of it — so it can neither inspect it, prove it, nor hand it to a new class of participant.</w:t>
      </w:r>
    </w:p>
    <w:p>
      <w:pPr>
        <w:spacing w:after="120" w:before="0" w:line="276"/>
      </w:pPr>
      <w:r>
        <w:rPr>
          <w:b w:val="false"/>
          <w:bCs w:val="false"/>
          <w:i/>
          <w:iCs/>
          <w:color w:val="6E6A62"/>
          <w:sz w:val="20"/>
          <w:szCs w:val="20"/>
        </w:rPr>
        <w:t xml:space="preserve">The test. For any consequential action ask: who may decide this, and under which delegation? Then time how long the true answer takes and how many systems must be consulted to assemble it.</w:t>
      </w:r>
    </w:p>
    <w:p>
      <w:pPr>
        <w:spacing w:after="70" w:before="160"/>
      </w:pPr>
      <w:r>
        <w:rPr>
          <w:b/>
          <w:bCs/>
          <w:color w:val="57534A"/>
          <w:sz w:val="20"/>
          <w:szCs w:val="20"/>
        </w:rPr>
        <w:t xml:space="preserve">A.3.3 · Accountability</w:t>
      </w:r>
    </w:p>
    <w:p>
      <w:pPr>
        <w:spacing w:after="120" w:before="0" w:line="276"/>
      </w:pPr>
      <w:r>
        <w:rPr>
          <w:b w:val="false"/>
          <w:bCs w:val="false"/>
          <w:i w:val="false"/>
          <w:iCs w:val="false"/>
          <w:color w:val="1B1A18"/>
          <w:sz w:val="20"/>
          <w:szCs w:val="20"/>
        </w:rPr>
        <w:t xml:space="preserve">The attribution of every action to an authority, after the fact, with evidence. Not blame — attribution.</w:t>
      </w:r>
    </w:p>
    <w:p>
      <w:pPr>
        <w:spacing w:after="120" w:before="0" w:line="276"/>
      </w:pPr>
      <w:r>
        <w:rPr>
          <w:b w:val="false"/>
          <w:bCs w:val="false"/>
          <w:i w:val="false"/>
          <w:iCs w:val="false"/>
          <w:color w:val="1B1A18"/>
          <w:sz w:val="20"/>
          <w:szCs w:val="20"/>
        </w:rPr>
        <w:t xml:space="preserve">Custody requirement. That provenance is a by-product of execution: every action carries who acted, under which right, through which boundary, with what result, because the structure attached those facts at the moment of action — not because someone assembled them afterwards.</w:t>
      </w:r>
    </w:p>
    <w:p>
      <w:pPr>
        <w:spacing w:after="120" w:before="0" w:line="276"/>
      </w:pPr>
      <w:r>
        <w:rPr>
          <w:b w:val="false"/>
          <w:bCs w:val="false"/>
          <w:i w:val="false"/>
          <w:iCs w:val="false"/>
          <w:color w:val="1B1A18"/>
          <w:sz w:val="20"/>
          <w:szCs w:val="20"/>
        </w:rPr>
        <w:t xml:space="preserve">Characteristic failure. If accountability must be established by investigation, custody has already failed, because investigation is precisely the manual reconstruction of what the structure should have carried. The social signature: organisations where attribution is expensive do not have accountability, they have blame. Their people learn the rational lesson and keep evidence of their innocence rather than records of their work. The defensive email and the meeting held so it can be said the meeting was held are not culture problems; they are the behavioural shadow of an architectural absence.</w:t>
      </w:r>
    </w:p>
    <w:p>
      <w:pPr>
        <w:spacing w:after="120" w:before="0" w:line="276"/>
      </w:pPr>
      <w:r>
        <w:rPr>
          <w:b w:val="false"/>
          <w:bCs w:val="false"/>
          <w:i/>
          <w:iCs/>
          <w:color w:val="6E6A62"/>
          <w:sz w:val="20"/>
          <w:szCs w:val="20"/>
        </w:rPr>
        <w:t xml:space="preserve">The test. Take a consequential action from ninety days ago and produce its full attribution — who, under which right, with what result. If the answer is a project rather than a query, accountability is not in custody.</w:t>
      </w:r>
    </w:p>
    <w:p>
      <w:pPr>
        <w:spacing w:after="70" w:before="160"/>
      </w:pPr>
      <w:r>
        <w:rPr>
          <w:b/>
          <w:bCs/>
          <w:color w:val="57534A"/>
          <w:sz w:val="20"/>
          <w:szCs w:val="20"/>
        </w:rPr>
        <w:t xml:space="preserve">A.3.4 · Coordination</w:t>
      </w:r>
    </w:p>
    <w:p>
      <w:pPr>
        <w:spacing w:after="120" w:before="0" w:line="276"/>
      </w:pPr>
      <w:r>
        <w:rPr>
          <w:b w:val="false"/>
          <w:bCs w:val="false"/>
          <w:i w:val="false"/>
          <w:iCs w:val="false"/>
          <w:color w:val="1B1A18"/>
          <w:sz w:val="20"/>
          <w:szCs w:val="20"/>
        </w:rPr>
        <w:t xml:space="preserve">Independent actors advancing one intent without central execution. The most misunderstood of the six, because the industry has spent thirty years building integration and calling it coordination. Integration moves data between systems; coordination preserves intent across them. Two systems can exchange every record flawlessly and pursue incompatible versions of what the enterprise is trying to do. Two systems that exchange almost nothing can be perfectly coordinated.</w:t>
      </w:r>
    </w:p>
    <w:p>
      <w:pPr>
        <w:spacing w:after="120" w:before="0" w:line="276"/>
      </w:pPr>
      <w:r>
        <w:rPr>
          <w:b w:val="false"/>
          <w:bCs w:val="false"/>
          <w:i w:val="false"/>
          <w:iCs w:val="false"/>
          <w:color w:val="1B1A18"/>
          <w:sz w:val="20"/>
          <w:szCs w:val="20"/>
        </w:rPr>
        <w:t xml:space="preserve">Custody requirement. Shared invariants enforced at every seam: whatever crosses, crosses under the same meanings and the same constraints, guaranteed on both sides.</w:t>
      </w:r>
    </w:p>
    <w:p>
      <w:pPr>
        <w:spacing w:after="120" w:before="0" w:line="276"/>
      </w:pPr>
      <w:r>
        <w:rPr>
          <w:b w:val="false"/>
          <w:bCs w:val="false"/>
          <w:i w:val="false"/>
          <w:iCs w:val="false"/>
          <w:color w:val="1B1A18"/>
          <w:sz w:val="20"/>
          <w:szCs w:val="20"/>
        </w:rPr>
        <w:t xml:space="preserve">Characteristic failure. Degradation into pairwise treaties. Each pair of systems negotiates a private integration understood by the project that built it and nobody afterwards. Every pair coordinates; the enterprise coordinates nowhere. The endpoint is an organisation whose intent has no representation anywhere in its landscape — the strategy exists in documents, and the documents live nowhere the work passes.</w:t>
      </w:r>
    </w:p>
    <w:p>
      <w:pPr>
        <w:spacing w:after="120" w:before="0" w:line="276"/>
      </w:pPr>
      <w:r>
        <w:rPr>
          <w:b w:val="false"/>
          <w:bCs w:val="false"/>
          <w:i/>
          <w:iCs/>
          <w:color w:val="6E6A62"/>
          <w:sz w:val="20"/>
          <w:szCs w:val="20"/>
        </w:rPr>
        <w:t xml:space="preserve">The test. Choose one enterprise-level intent and trace where it is represented as an enforceable object rather than a document, along the path the work actually travels. If the trace comes up empty, the enterprise is integrated, not coordinated.</w:t>
      </w:r>
    </w:p>
    <w:p>
      <w:pPr>
        <w:spacing w:after="70" w:before="160"/>
      </w:pPr>
      <w:r>
        <w:rPr>
          <w:b/>
          <w:bCs/>
          <w:color w:val="57534A"/>
          <w:sz w:val="20"/>
          <w:szCs w:val="20"/>
        </w:rPr>
        <w:t xml:space="preserve">A.3.5 · Execution coherence</w:t>
      </w:r>
    </w:p>
    <w:p>
      <w:pPr>
        <w:spacing w:after="120" w:before="0" w:line="276"/>
      </w:pPr>
      <w:r>
        <w:rPr>
          <w:b w:val="false"/>
          <w:bCs w:val="false"/>
          <w:i w:val="false"/>
          <w:iCs w:val="false"/>
          <w:color w:val="1B1A18"/>
          <w:sz w:val="20"/>
          <w:szCs w:val="20"/>
        </w:rPr>
        <w:t xml:space="preserve">Many independent systems behaving as one enterprise: the same constraints, the same posture, the same non-negotiables, whichever door the work comes through. The property regulators probe first, because its absence is the easiest to demonstrate — ask the same question through two doors and compare the answers.</w:t>
      </w:r>
    </w:p>
    <w:p>
      <w:pPr>
        <w:spacing w:after="120" w:before="0" w:line="276"/>
      </w:pPr>
      <w:r>
        <w:rPr>
          <w:b w:val="false"/>
          <w:bCs w:val="false"/>
          <w:i w:val="false"/>
          <w:iCs w:val="false"/>
          <w:color w:val="1B1A18"/>
          <w:sz w:val="20"/>
          <w:szCs w:val="20"/>
        </w:rPr>
        <w:t xml:space="preserve">Custody requirement. That the non-negotiables live above the systems and are enforced at every boundary, so no component and no vendor can opt out. Coherence is not achieved by making systems similar; against a landscape of vendors, versions and decades of estate, homogeneity is hopeless and always was. It is achieved by making the crossings identical. The systems stay as different as they like. The doors are the same.</w:t>
      </w:r>
    </w:p>
    <w:p>
      <w:pPr>
        <w:spacing w:after="120" w:before="0" w:line="276"/>
      </w:pPr>
      <w:r>
        <w:rPr>
          <w:b w:val="false"/>
          <w:bCs w:val="false"/>
          <w:i w:val="false"/>
          <w:iCs w:val="false"/>
          <w:color w:val="1B1A18"/>
          <w:sz w:val="20"/>
          <w:szCs w:val="20"/>
        </w:rPr>
        <w:t xml:space="preserve">Characteristic failure. The federation of exceptions. Each system enforces what it can express, exempts what it cannot, and the enterprise’s posture becomes the union of every system’s leaks. Ask such an organisation what it guarantees and the honest answer is: it depends which door you came in through.</w:t>
      </w:r>
    </w:p>
    <w:p>
      <w:pPr>
        <w:spacing w:after="120" w:before="0" w:line="276"/>
      </w:pPr>
      <w:r>
        <w:rPr>
          <w:b w:val="false"/>
          <w:bCs w:val="false"/>
          <w:i/>
          <w:iCs/>
          <w:color w:val="6E6A62"/>
          <w:sz w:val="20"/>
          <w:szCs w:val="20"/>
        </w:rPr>
        <w:t xml:space="preserve">The test. State one non-negotiable, then enter through three different doors — three systems, three channels, three interfaces — and check whether it holds identically at each. One exception disproves coherence; that is what non-negotiable means.</w:t>
      </w:r>
    </w:p>
    <w:p>
      <w:pPr>
        <w:spacing w:after="70" w:before="160"/>
      </w:pPr>
      <w:r>
        <w:rPr>
          <w:b/>
          <w:bCs/>
          <w:color w:val="57534A"/>
          <w:sz w:val="20"/>
          <w:szCs w:val="20"/>
        </w:rPr>
        <w:t xml:space="preserve">A.3.6 · Institutional memory</w:t>
      </w:r>
    </w:p>
    <w:p>
      <w:pPr>
        <w:spacing w:after="120" w:before="0" w:line="276"/>
      </w:pPr>
      <w:r>
        <w:rPr>
          <w:b w:val="false"/>
          <w:bCs w:val="false"/>
          <w:i w:val="false"/>
          <w:iCs w:val="false"/>
          <w:color w:val="1B1A18"/>
          <w:sz w:val="20"/>
          <w:szCs w:val="20"/>
        </w:rPr>
        <w:t xml:space="preserve">What the organisation knows independent of who is present today: decisions and their reasons, precedents, learned constraints, the lessons paid for in its own history. The property with the longest time constant and historically the most tolerated failure.</w:t>
      </w:r>
    </w:p>
    <w:p>
      <w:pPr>
        <w:spacing w:after="120" w:before="0" w:line="276"/>
      </w:pPr>
      <w:r>
        <w:rPr>
          <w:b w:val="false"/>
          <w:bCs w:val="false"/>
          <w:i w:val="false"/>
          <w:iCs w:val="false"/>
          <w:color w:val="1B1A18"/>
          <w:sz w:val="20"/>
          <w:szCs w:val="20"/>
        </w:rPr>
        <w:t xml:space="preserve">Custody requirement. Two requirements. Durability must require ceremony — entry into durable memory must be an event, with an author, a corroboration, an approval, not a side effect. Memory that anything can write is not memory; it is rumour with a retention policy. And memory must carry provenance — knowledge whose origin cannot be established cannot be trusted, only repeated, and an organisation that repeats what it cannot trust is not remembering, it is superstitious.</w:t>
      </w:r>
    </w:p>
    <w:p>
      <w:pPr>
        <w:spacing w:after="120" w:before="0" w:line="276"/>
      </w:pPr>
      <w:r>
        <w:rPr>
          <w:b w:val="false"/>
          <w:bCs w:val="false"/>
          <w:i w:val="false"/>
          <w:iCs w:val="false"/>
          <w:color w:val="1B1A18"/>
          <w:sz w:val="20"/>
          <w:szCs w:val="20"/>
        </w:rPr>
        <w:t xml:space="preserve">Characteristic failure. Fragmentation and its cost: the enterprise re-learns at full price what it already paid to learn, because the lesson sat in a system that was retired, a team that was reorganised, or a person who resigned. For forty years this was chronic rather than acute — a tax, not a wound. It becomes acute because anything intelligent acting on fragmented memory converts fragmented knowledge into fragmented action. When the consumers of memory were humans, their judgement buffered its defects. The next consumers bring no buffer.</w:t>
      </w:r>
    </w:p>
    <w:p>
      <w:pPr>
        <w:spacing w:after="120" w:before="0" w:line="276"/>
      </w:pPr>
      <w:r>
        <w:rPr>
          <w:b w:val="false"/>
          <w:bCs w:val="false"/>
          <w:i/>
          <w:iCs/>
          <w:color w:val="6E6A62"/>
          <w:sz w:val="20"/>
          <w:szCs w:val="20"/>
        </w:rPr>
        <w:t xml:space="preserve">The test. Identify a lesson the organisation paid heavily to learn more than five years ago and ask where it is written, who vouched for it, and what consults it today. If the answer is a person, the memory is not institutional — it is borrowed.</w:t>
      </w:r>
    </w:p>
    <w:p>
      <w:pPr>
        <w:pStyle w:val="Heading2"/>
        <w:spacing w:after="90" w:before="220"/>
      </w:pPr>
      <w:r>
        <w:rPr>
          <w:b/>
          <w:bCs/>
          <w:color w:val="33302B"/>
          <w:sz w:val="23"/>
          <w:szCs w:val="23"/>
        </w:rPr>
        <w:t xml:space="preserve">A.4 · The four axioms</w:t>
      </w:r>
    </w:p>
    <w:p>
      <w:pPr>
        <w:spacing w:after="120" w:before="0" w:line="276"/>
      </w:pPr>
      <w:r>
        <w:rPr>
          <w:b w:val="false"/>
          <w:bCs w:val="false"/>
          <w:i w:val="false"/>
          <w:iCs w:val="false"/>
          <w:color w:val="1B1A18"/>
          <w:sz w:val="20"/>
          <w:szCs w:val="20"/>
        </w:rPr>
        <w:t xml:space="preserve">Four facts about the world that enterprise agentic systems must satisfy simultaneously. Each alone is survivable; jointly they eliminate two things the industry keeps trying.</w:t>
      </w:r>
    </w:p>
    <w:p>
      <w:pPr>
        <w:spacing w:after="70" w:before="160"/>
      </w:pPr>
      <w:r>
        <w:rPr>
          <w:b/>
          <w:bCs/>
          <w:color w:val="57534A"/>
          <w:sz w:val="20"/>
          <w:szCs w:val="20"/>
        </w:rPr>
        <w:t xml:space="preserve">Axiom 1 · Regulatory determinism</w:t>
      </w:r>
    </w:p>
    <w:p>
      <w:pPr>
        <w:spacing w:after="120" w:before="0" w:line="276"/>
      </w:pPr>
      <w:r>
        <w:rPr>
          <w:b/>
          <w:bCs/>
          <w:i/>
          <w:iCs/>
          <w:color w:val="1B1A18"/>
          <w:sz w:val="20"/>
          <w:szCs w:val="20"/>
        </w:rPr>
        <w:t xml:space="preserve">In a regulated domain, governance must be deterministic, inspectable, and provable after the fact.</w:t>
      </w:r>
    </w:p>
    <w:p>
      <w:pPr>
        <w:spacing w:after="120" w:before="0" w:line="276"/>
      </w:pPr>
      <w:r>
        <w:rPr>
          <w:b w:val="false"/>
          <w:bCs w:val="false"/>
          <w:i w:val="false"/>
          <w:iCs w:val="false"/>
          <w:color w:val="1B1A18"/>
          <w:sz w:val="20"/>
          <w:szCs w:val="20"/>
        </w:rPr>
        <w:t xml:space="preserve">Regulatory language is modal: must, must not, always, never, under no circumstances. A data-residency rule does not say customer data should rarely leave the jurisdiction. Remove the never and nothing of substance remains. Modal claims cannot be satisfied statistically: a system that blocks the prohibited transaction 99.9% of the time does not comply 99.9% with a rule that says never — it violates the rule, with a measured frequency. And the guarantee must be demonstrable, which has separate teeth. A regulator does not ask what a system usually does; it asks what the system structurally cannot do, then demands evidence, transaction by transaction, that it did not. The burden is not to have behaved but to be able to prove having behaved, to a party with the power to shut you down.</w:t>
      </w:r>
    </w:p>
    <w:p>
      <w:pPr>
        <w:spacing w:after="70" w:before="160"/>
      </w:pPr>
      <w:r>
        <w:rPr>
          <w:b/>
          <w:bCs/>
          <w:color w:val="57534A"/>
          <w:sz w:val="20"/>
          <w:szCs w:val="20"/>
        </w:rPr>
        <w:t xml:space="preserve">Axiom 2 · Probabilistic behaviour</w:t>
      </w:r>
    </w:p>
    <w:p>
      <w:pPr>
        <w:spacing w:after="120" w:before="0" w:line="276"/>
      </w:pPr>
      <w:r>
        <w:rPr>
          <w:b/>
          <w:bCs/>
          <w:i/>
          <w:iCs/>
          <w:color w:val="1B1A18"/>
          <w:sz w:val="20"/>
          <w:szCs w:val="20"/>
        </w:rPr>
        <w:t xml:space="preserve">Large language model output is probabilistic. The same input can produce different outputs; adversarial input can produce arbitrary outputs.</w:t>
      </w:r>
    </w:p>
    <w:p>
      <w:pPr>
        <w:spacing w:after="120" w:before="0" w:line="276"/>
      </w:pPr>
      <w:r>
        <w:rPr>
          <w:b w:val="false"/>
          <w:bCs w:val="false"/>
          <w:i w:val="false"/>
          <w:iCs w:val="false"/>
          <w:color w:val="1B1A18"/>
          <w:sz w:val="20"/>
          <w:szCs w:val="20"/>
        </w:rPr>
        <w:t xml:space="preserve">This is not an attack on the models and not a defect awaiting a patch. It is inseparable from the property that makes them valuable — generality, the ability to respond sensibly to inputs nobody enumerated. The adversarial half is the sharper half. Teach it as a statement about what kind of guarantee a probabilistic component can supply, never as a complaint about model quality; an instructor who sounds like a sceptic about AI loses the room and deserves to.</w:t>
      </w:r>
    </w:p>
    <w:p>
      <w:pPr>
        <w:spacing w:after="70" w:before="160"/>
      </w:pPr>
      <w:r>
        <w:rPr>
          <w:b/>
          <w:bCs/>
          <w:color w:val="57534A"/>
          <w:sz w:val="20"/>
          <w:szCs w:val="20"/>
        </w:rPr>
        <w:t xml:space="preserve">Axiom 3 · Perpetual variance</w:t>
      </w:r>
    </w:p>
    <w:p>
      <w:pPr>
        <w:spacing w:after="120" w:before="0" w:line="276"/>
      </w:pPr>
      <w:r>
        <w:rPr>
          <w:b/>
          <w:bCs/>
          <w:i/>
          <w:iCs/>
          <w:color w:val="1B1A18"/>
          <w:sz w:val="20"/>
          <w:szCs w:val="20"/>
        </w:rPr>
        <w:t xml:space="preserve">Models, regulations, tenants, and domains change at independent, externally imposed rates.</w:t>
      </w:r>
    </w:p>
    <w:p>
      <w:pPr>
        <w:spacing w:after="120" w:before="0" w:line="276"/>
      </w:pPr>
      <w:r>
        <w:rPr>
          <w:b w:val="false"/>
          <w:bCs w:val="false"/>
          <w:i w:val="false"/>
          <w:iCs w:val="false"/>
          <w:color w:val="1B1A18"/>
          <w:sz w:val="20"/>
          <w:szCs w:val="20"/>
        </w:rPr>
        <w:t xml:space="preserve">Every prior enterprise software category had roughly one dominant axis of change, and its discipline grew around that axis. Agentic systems are the first category with four, none of which consults the others and none of which the operator controls. Models improve on a cadence set by a handful of laboratories, so an architecture married to one model is repriced by strangers every quarter. Regulations change per jurisdiction and per legislative session. Tenants differ in risk appetite and residency obligation, and each arrives with its variance the day it signs. Domains differ in vocabulary and constraint.</w:t>
      </w:r>
    </w:p>
    <w:p>
      <w:pPr>
        <w:spacing w:after="70" w:before="160"/>
      </w:pPr>
      <w:r>
        <w:rPr>
          <w:b/>
          <w:bCs/>
          <w:color w:val="57534A"/>
          <w:sz w:val="20"/>
          <w:szCs w:val="20"/>
        </w:rPr>
        <w:t xml:space="preserve">Axiom 4 · Audit primacy</w:t>
      </w:r>
    </w:p>
    <w:p>
      <w:pPr>
        <w:spacing w:after="120" w:before="0" w:line="276"/>
      </w:pPr>
      <w:r>
        <w:rPr>
          <w:b/>
          <w:bCs/>
          <w:i/>
          <w:iCs/>
          <w:color w:val="1B1A18"/>
          <w:sz w:val="20"/>
          <w:szCs w:val="20"/>
        </w:rPr>
        <w:t xml:space="preserve">What cannot be audited cannot be deployed.</w:t>
      </w:r>
    </w:p>
    <w:p>
      <w:pPr>
        <w:spacing w:after="120" w:before="0" w:line="276"/>
      </w:pPr>
      <w:r>
        <w:rPr>
          <w:b w:val="false"/>
          <w:bCs w:val="false"/>
          <w:i w:val="false"/>
          <w:iCs w:val="false"/>
          <w:color w:val="1B1A18"/>
          <w:sz w:val="20"/>
          <w:szCs w:val="20"/>
        </w:rPr>
        <w:t xml:space="preserve">This converts Axiom 1’s proof obligation from a preference into a gate, and relocates a deliverable. The artefact of proof — who set this rule, which boundary enforced it, what happened at each transaction, what was blocked and why — is not documentation about the system. It is a product of the system, as much a deliverable as the work itself, and its absence is a disqualification rather than an inconvenience. Audit primacy is the axiom most often deferred, and the deferral has the causality backwards: evidence cannot be retrofitted, because the evidence of a transaction exists only at the transaction. A system designed capability-first and evidence-later has chosen which meeting it will fail.</w:t>
      </w:r>
    </w:p>
    <w:p>
      <w:pPr>
        <w:spacing w:after="70" w:before="160"/>
      </w:pPr>
      <w:r>
        <w:rPr>
          <w:b/>
          <w:bCs/>
          <w:color w:val="57534A"/>
          <w:sz w:val="20"/>
          <w:szCs w:val="20"/>
        </w:rPr>
        <w:t xml:space="preserve">What the axioms do jointly</w:t>
      </w:r>
    </w:p>
    <w:p>
      <w:pPr>
        <w:pStyle w:val="ListParagraph"/>
        <w:numPr>
          <w:ilvl w:val="0"/>
          <w:numId w:val="2"/>
        </w:numPr>
        <w:spacing w:after="70" w:line="276"/>
      </w:pPr>
      <w:r>
        <w:rPr>
          <w:b/>
          <w:bCs/>
          <w:color w:val="1B1A18"/>
          <w:sz w:val="20"/>
          <w:szCs w:val="20"/>
        </w:rPr>
        <w:t xml:space="preserve">Axioms 1 and 2 eliminate the model as the seat of governance. </w:t>
      </w:r>
      <w:r>
        <w:rPr>
          <w:color w:val="1B1A18"/>
          <w:sz w:val="20"/>
          <w:szCs w:val="20"/>
        </w:rPr>
        <w:t xml:space="preserve">If the rule must hold always and the model holds usually, then for the class of things that must never happen the guarantee cannot live in the model. This is the single most important inference in the book, and the one students most often nod at and then forget by the following week.</w:t>
      </w:r>
    </w:p>
    <w:p>
      <w:pPr>
        <w:pStyle w:val="ListParagraph"/>
        <w:numPr>
          <w:ilvl w:val="0"/>
          <w:numId w:val="2"/>
        </w:numPr>
        <w:spacing w:after="70" w:line="276"/>
      </w:pPr>
      <w:r>
        <w:rPr>
          <w:b/>
          <w:bCs/>
          <w:color w:val="1B1A18"/>
          <w:sz w:val="20"/>
          <w:szCs w:val="20"/>
        </w:rPr>
        <w:t xml:space="preserve">Axioms 3 and 4 eliminate the code path as the vehicle of change. </w:t>
      </w:r>
      <w:r>
        <w:rPr>
          <w:color w:val="1B1A18"/>
          <w:sz w:val="20"/>
          <w:szCs w:val="20"/>
        </w:rPr>
        <w:t xml:space="preserve">If four independent axes of variance arrive on timetables you do not control, and every change must carry evidence, then behaviour that lives in code means every change is a release — and the evidence trail is a byproduct of your deployment process rather than of the work.</w:t>
      </w:r>
    </w:p>
    <w:p>
      <w:pPr>
        <w:pStyle w:val="Heading2"/>
        <w:spacing w:after="90" w:before="220"/>
      </w:pPr>
      <w:r>
        <w:rPr>
          <w:b/>
          <w:bCs/>
          <w:color w:val="33302B"/>
          <w:sz w:val="23"/>
          <w:szCs w:val="23"/>
        </w:rPr>
        <w:t xml:space="preserve">A.5 · The evaluation protocol</w:t>
      </w:r>
    </w:p>
    <w:p>
      <w:pPr>
        <w:spacing w:after="120" w:before="0" w:line="276"/>
      </w:pPr>
      <w:r>
        <w:rPr>
          <w:b w:val="false"/>
          <w:bCs w:val="false"/>
          <w:i w:val="false"/>
          <w:iCs w:val="false"/>
          <w:color w:val="1B1A18"/>
          <w:sz w:val="20"/>
          <w:szCs w:val="20"/>
        </w:rPr>
        <w:t xml:space="preserve">Ten items — a single-clause specification and nine questions — runnable against any claimant in a working day. The sequence is deliberate: each failure makes the later questions unnecessary. None requires access to source code, none takes by surprise a vendor who has actually built what the words claim, and none can be answered by a slide.</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00"/>
        <w:gridCol w:w="2500"/>
        <w:gridCol w:w="6880"/>
      </w:tblGrid>
      <w:tr>
        <w:trPr>
          <w:tblHeader/>
        </w:trPr>
        <w:tc>
          <w:tcPr>
            <w:tcW w:type="dxa" w:w="7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t>
            </w:r>
          </w:p>
        </w:tc>
        <w:tc>
          <w:tcPr>
            <w:tcW w:type="dxa" w:w="2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Test</w:t>
            </w:r>
          </w:p>
        </w:tc>
        <w:tc>
          <w:tcPr>
            <w:tcW w:type="dxa" w:w="68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it demands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0</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single-clause specification</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Show the crossing, and show what survives it. Pick a real piece of work, make the claimant walk it across a real boundary between two systems, live, and inspect what arrives — the payload alone, or the payload with its meaning, its rights, its record, and its relationship to what the enterprise knows. Everything else in the protocol is this question, factored.</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onboarding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new tenant, domain, regulation, model — rows or releases? Follow-up: where does a new agent prove itself? In the application, inside the gates it will live under, or in a development environment — which is a release pipeline confessing under another name.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address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non-negotiable; its physical enforcement point. Disqualify on the word prompt.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3</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expressibility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isolation: have their engineers write the statement that would cross tenants. Isolation that depends on the statement not being written is a policy; isolation where the statement cannot be written is a construction.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origin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At the seams: what does the structure know about where a fragment came from, and what is that class permitted to influence?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dependency census</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sovereignty: the runtime leash list — every party whose availability, pricing or policy the system depends on to function.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6</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substitution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cost of saying no to any single party on that list.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7</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last-month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transaction, full attribution including the rule version in force, by query, verified by someone who distrusts the keeper.</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8</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two-invoices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agent, one month, cost and consumption per action, from execution-time records.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9</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outlive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referee question — does the party holding the invariants have a stake among the coordinated? And the turnover question — name a property that has survived the replacement of a component beneath it.</w:t>
            </w:r>
          </w:p>
        </w:tc>
      </w:tr>
    </w:tbl>
    <w:p>
      <w:pPr>
        <w:spacing w:after="130"/>
      </w:pPr>
    </w:p>
    <w:p>
      <w:pPr>
        <w:spacing w:after="70" w:before="160"/>
      </w:pPr>
      <w:r>
        <w:rPr>
          <w:b/>
          <w:bCs/>
          <w:color w:val="57534A"/>
          <w:sz w:val="20"/>
          <w:szCs w:val="20"/>
        </w:rPr>
        <w:t xml:space="preserve">The four buyer-side traps</w:t>
      </w:r>
    </w:p>
    <w:p>
      <w:pPr>
        <w:pStyle w:val="ListParagraph"/>
        <w:numPr>
          <w:ilvl w:val="0"/>
          <w:numId w:val="2"/>
        </w:numPr>
        <w:spacing w:after="70" w:line="276"/>
      </w:pPr>
      <w:r>
        <w:rPr>
          <w:b/>
          <w:bCs/>
          <w:color w:val="1B1A18"/>
          <w:sz w:val="20"/>
          <w:szCs w:val="20"/>
        </w:rPr>
        <w:t xml:space="preserve">The demo cliff. </w:t>
      </w:r>
      <w:r>
        <w:rPr>
          <w:color w:val="1B1A18"/>
          <w:sz w:val="20"/>
          <w:szCs w:val="20"/>
        </w:rPr>
        <w:t xml:space="preserve">An evaluation that begins with capability ends with capability: a quarter of impressive demonstrations, then the risk function’s questions, unanswerable, and the pilot joins the statistics. The trap is sequencing. Ask the second meeting’s questions in the first meeting, and let the capability demo be the reward for passing rather than the substitute for it.</w:t>
      </w:r>
    </w:p>
    <w:p>
      <w:pPr>
        <w:pStyle w:val="ListParagraph"/>
        <w:numPr>
          <w:ilvl w:val="0"/>
          <w:numId w:val="2"/>
        </w:numPr>
        <w:spacing w:after="70" w:line="276"/>
      </w:pPr>
      <w:r>
        <w:rPr>
          <w:b/>
          <w:bCs/>
          <w:color w:val="1B1A18"/>
          <w:sz w:val="20"/>
          <w:szCs w:val="20"/>
        </w:rPr>
        <w:t xml:space="preserve">The pricing-opacity trap. </w:t>
      </w:r>
      <w:r>
        <w:rPr>
          <w:color w:val="1B1A18"/>
          <w:sz w:val="20"/>
          <w:szCs w:val="20"/>
        </w:rPr>
        <w:t xml:space="preserve">A platform that cannot attribute its costs cannot price transparently, and opacity is an architectural confession. The trap is treating a confusing invoice as a commercial annoyance to negotiate rather than as architectural evidence to weigh.</w:t>
      </w:r>
    </w:p>
    <w:p>
      <w:pPr>
        <w:pStyle w:val="ListParagraph"/>
        <w:numPr>
          <w:ilvl w:val="0"/>
          <w:numId w:val="2"/>
        </w:numPr>
        <w:spacing w:after="70" w:line="276"/>
      </w:pPr>
      <w:r>
        <w:rPr>
          <w:b/>
          <w:bCs/>
          <w:color w:val="1B1A18"/>
          <w:sz w:val="20"/>
          <w:szCs w:val="20"/>
        </w:rPr>
        <w:t xml:space="preserve">The customisation trap. </w:t>
      </w:r>
      <w:r>
        <w:rPr>
          <w:color w:val="1B1A18"/>
          <w:sz w:val="20"/>
          <w:szCs w:val="20"/>
        </w:rPr>
        <w:t xml:space="preserve">The vendor agrees to everything. The eagerness is the warning. The question that springs it: where does my customisation live? Rows, in your scope, on a shared invariant platform — or a branch whose maintenance you fund forever and whose compliance story diverges with every sprint? A platform that forks per deployment is a consultancy with a repository.</w:t>
      </w:r>
    </w:p>
    <w:p>
      <w:pPr>
        <w:pStyle w:val="ListParagraph"/>
        <w:numPr>
          <w:ilvl w:val="0"/>
          <w:numId w:val="2"/>
        </w:numPr>
        <w:spacing w:after="70" w:line="276"/>
      </w:pPr>
      <w:r>
        <w:rPr>
          <w:b/>
          <w:bCs/>
          <w:color w:val="1B1A18"/>
          <w:sz w:val="20"/>
          <w:szCs w:val="20"/>
        </w:rPr>
        <w:t xml:space="preserve">The compliance-feature trap. </w:t>
      </w:r>
      <w:r>
        <w:rPr>
          <w:color w:val="1B1A18"/>
          <w:sz w:val="20"/>
          <w:szCs w:val="20"/>
        </w:rPr>
        <w:t xml:space="preserve">The deck says compliant and the certifications are real; the trap is that features break under exactly the customisation the previous trap sells. One sentence cuts it open: show me what a tenant administrator cannot do. A permissions matrix is a feature. A floor is an architecture.</w:t>
      </w:r>
    </w:p>
    <w:p>
      <w:pPr>
        <w:pStyle w:val="Heading2"/>
        <w:spacing w:after="90" w:before="220"/>
      </w:pPr>
      <w:r>
        <w:rPr>
          <w:b/>
          <w:bCs/>
          <w:color w:val="33302B"/>
          <w:sz w:val="23"/>
          <w:szCs w:val="23"/>
        </w:rPr>
        <w:t xml:space="preserve">A.6 · The six custody rules, and the rule above them</w:t>
      </w:r>
    </w:p>
    <w:p>
      <w:pPr>
        <w:spacing w:after="120" w:before="0" w:line="276"/>
      </w:pPr>
      <w:r>
        <w:rPr>
          <w:b w:val="false"/>
          <w:bCs w:val="false"/>
          <w:i w:val="false"/>
          <w:iCs w:val="false"/>
          <w:color w:val="1B1A18"/>
          <w:sz w:val="20"/>
          <w:szCs w:val="20"/>
        </w:rPr>
        <w:t xml:space="preserve">Each property yields exactly one rule — the condition under which that property survives movement. They are stated without technology, because they must outlive every technology used to satisfy them.</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100"/>
        <w:gridCol w:w="7980"/>
      </w:tblGrid>
      <w:tr>
        <w:trPr>
          <w:tblHeader/>
        </w:trPr>
        <w:tc>
          <w:tcPr>
            <w:tcW w:type="dxa" w:w="21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Source</w:t>
            </w:r>
          </w:p>
        </w:tc>
        <w:tc>
          <w:tcPr>
            <w:tcW w:type="dxa" w:w="79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Rule</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context</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Every crossing must preserve more than it transports. Capture significance at its origin, store it in the shape it has, carry it across every seam — because the alternative is a permanent tax paid to reconstruct what was destroyed: by humans while they remain, and by inference after they go.</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authority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Decision rights are enterprise data — explicit, inspectable, and enforced at the boundary the work crosses. Authority implied by application permissions is authority the enterprise no longer owns. Rights conferred as records and consulted at gates, so that who may decide this is a query.</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accountability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Provenance must be a by-product of execution, never a project of reconstruction. If attribution requires investigation, custody has already failed. Evidence exists at the transaction or not at all — and a record that is not complete by construction, verifiable by the distrustful, is testimony wearing evidence’s clothes.</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coordination</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Alignment is achieved by shared invariants at the seams, never by shared middleware. Whatever merely connects does not coordinate. The layer that holds it must stand at the crossings no application owns — which is why it can only be infrastructure, and neutral.</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execution coherence</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non-negotiables live above the systems and are enforced at every crossing. No component may opt out, and no component’s semantics may win. The floor sits beneath every posture, identical at every door.</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institutional memory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Durability requires ceremony to write and provenance to trust. Memory that anything can write is not memory.</w:t>
            </w:r>
          </w:p>
        </w:tc>
      </w:tr>
    </w:tbl>
    <w:p>
      <w:pPr>
        <w:spacing w:after="13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The rule above the rules. </w:t>
            </w:r>
            <w:r>
              <w:rPr>
                <w:i/>
                <w:iCs/>
                <w:color w:val="1B1A18"/>
                <w:sz w:val="20"/>
                <w:szCs w:val="20"/>
              </w:rPr>
              <w:t xml:space="preserve">Every component must be replaceable, and no property ever may be.</w:t>
            </w:r>
          </w:p>
          <w:p>
            <w:pPr>
              <w:spacing w:after="0" w:line="264"/>
            </w:pPr>
            <w:r>
              <w:rPr>
                <w:color w:val="1B1A18"/>
                <w:sz w:val="20"/>
                <w:szCs w:val="20"/>
              </w:rPr>
              <w:t xml:space="preserve">It restates the law and serves as the test for anything claiming to implement it. Whatever fails it — however capable, however integrated, however fluent in this vocabulary — is another application.</w:t>
            </w:r>
          </w:p>
        </w:tc>
      </w:tr>
    </w:tbl>
    <w:p>
      <w:pPr>
        <w:pStyle w:val="Heading1"/>
        <w:spacing w:after="130" w:before="300"/>
      </w:pPr>
      <w:r>
        <w:rPr>
          <w:b/>
          <w:bCs/>
          <w:color w:val="33302B"/>
          <w:sz w:val="29"/>
          <w:szCs w:val="29"/>
        </w:rPr>
        <w:t xml:space="preserve">Part B · Module notes</w:t>
      </w:r>
    </w:p>
    <w:p>
      <w:pPr>
        <w:spacing w:after="140" w:line="276"/>
      </w:pPr>
      <w:r>
        <w:rPr>
          <w:i/>
          <w:iCs/>
          <w:color w:val="6E6A62"/>
          <w:sz w:val="20"/>
          <w:szCs w:val="20"/>
        </w:rPr>
        <w:t xml:space="preserve">Each entry: what is being taught, the sequence that works, the question that does the work, and the errors to expect. Part A references are to this guide, not to the book.</w:t>
      </w:r>
    </w:p>
    <w:p>
      <w:pPr>
        <w:pStyle w:val="Heading2"/>
        <w:spacing w:after="90" w:before="220"/>
      </w:pPr>
      <w:r>
        <w:rPr>
          <w:b/>
          <w:bCs/>
          <w:color w:val="33302B"/>
          <w:sz w:val="23"/>
          <w:szCs w:val="23"/>
        </w:rPr>
        <w:t xml:space="preserve">Module 1 · The crossing as the unit — and why this sector’s controls already are boundary controls</w:t>
      </w:r>
    </w:p>
    <w:p>
      <w:pPr>
        <w:spacing w:after="120" w:before="0" w:line="276"/>
      </w:pPr>
      <w:r>
        <w:rPr>
          <w:b w:val="false"/>
          <w:bCs w:val="false"/>
          <w:i w:val="false"/>
          <w:iCs w:val="false"/>
          <w:color w:val="1B1A18"/>
          <w:sz w:val="20"/>
          <w:szCs w:val="20"/>
        </w:rPr>
        <w:t xml:space="preserve">Substance. The law and the unit, translated into the sector’s own language. Segregation of duties, four eyes, three-way match, approval thresholds, maker-checker, reconciliation — every one is a rule about what must be true when work passes from one party to another. The sector has practised boundary control for a century without having to specify the boundary, because a person stood there.</w:t>
      </w:r>
    </w:p>
    <w:p>
      <w:pPr>
        <w:spacing w:after="120" w:before="0" w:line="276"/>
      </w:pPr>
      <w:r>
        <w:rPr>
          <w:b w:val="false"/>
          <w:bCs w:val="false"/>
          <w:i w:val="false"/>
          <w:iCs w:val="false"/>
          <w:color w:val="1B1A18"/>
          <w:sz w:val="20"/>
          <w:szCs w:val="20"/>
        </w:rPr>
        <w:t xml:space="preserve">Sequence. Open by listing the controls above and asking what they have in common. The room gets there. Then state the premise: the institution is about to automate across boundaries it never specified. Mixed-line cohorts should be told in this session that institution-specific detail stays in the room, and it must be meant.</w:t>
      </w:r>
    </w:p>
    <w:p>
      <w:pPr>
        <w:spacing w:after="120" w:before="0" w:line="276"/>
      </w:pPr>
      <w:r>
        <w:rPr>
          <w:b w:val="false"/>
          <w:bCs w:val="false"/>
          <w:i/>
          <w:iCs/>
          <w:color w:val="1B1A18"/>
          <w:sz w:val="20"/>
          <w:szCs w:val="20"/>
        </w:rPr>
        <w:t xml:space="preserve">The question that does the work. What do segregation of duties and three-way match have in common?</w:t>
      </w:r>
    </w:p>
    <w:p>
      <w:pPr>
        <w:spacing w:after="120" w:before="0" w:line="276"/>
      </w:pPr>
      <w:r>
        <w:rPr>
          <w:b w:val="false"/>
          <w:bCs w:val="false"/>
          <w:i w:val="false"/>
          <w:iCs w:val="false"/>
          <w:color w:val="1B1A18"/>
          <w:sz w:val="20"/>
          <w:szCs w:val="20"/>
        </w:rPr>
        <w:t xml:space="preserve">Errors to expect. Participants map a system rather than a process they own. Insist on a process and on naming the systems work passes between; if the answer is "it is all in one platform", ask where the instruction originates and where approval is recorded.</w:t>
      </w:r>
    </w:p>
    <w:p>
      <w:pPr>
        <w:spacing w:after="120" w:before="0" w:line="276"/>
      </w:pPr>
      <w:r>
        <w:rPr>
          <w:b w:val="false"/>
          <w:bCs w:val="false"/>
          <w:i w:val="false"/>
          <w:iCs w:val="false"/>
          <w:color w:val="6E6A62"/>
          <w:sz w:val="18"/>
          <w:szCs w:val="18"/>
        </w:rPr>
        <w:t xml:space="preserve">In this guide: A.1  ·  Student reading: Part I; Ch. 4 (law)</w:t>
      </w:r>
    </w:p>
    <w:p>
      <w:pPr>
        <w:pStyle w:val="Heading2"/>
        <w:spacing w:after="90" w:before="220"/>
      </w:pPr>
      <w:r>
        <w:rPr>
          <w:b/>
          <w:bCs/>
          <w:color w:val="33302B"/>
          <w:sz w:val="23"/>
          <w:szCs w:val="23"/>
        </w:rPr>
        <w:t xml:space="preserve">Module 2 · The six properties against the institution’s own framework</w:t>
      </w:r>
    </w:p>
    <w:p>
      <w:pPr>
        <w:spacing w:after="120" w:before="0" w:line="276"/>
      </w:pPr>
      <w:r>
        <w:rPr>
          <w:b w:val="false"/>
          <w:bCs w:val="false"/>
          <w:i w:val="false"/>
          <w:iCs w:val="false"/>
          <w:color w:val="1B1A18"/>
          <w:sz w:val="20"/>
          <w:szCs w:val="20"/>
        </w:rPr>
        <w:t xml:space="preserve">Substance. The six, mapped onto instruments the institution already holds. Risk data aggregation principles carry context and coordination; audit trail and record-keeping rules carry accountability; pre-trade controls and kill functionality carry coherence; retention rules carry half of memory. Authority is the one property with no existing home, because mandates are recorded for people.</w:t>
      </w:r>
    </w:p>
    <w:p>
      <w:pPr>
        <w:spacing w:after="120" w:before="0" w:line="276"/>
      </w:pPr>
      <w:r>
        <w:rPr>
          <w:b w:val="false"/>
          <w:bCs w:val="false"/>
          <w:i w:val="false"/>
          <w:iCs w:val="false"/>
          <w:color w:val="1B1A18"/>
          <w:sz w:val="20"/>
          <w:szCs w:val="20"/>
        </w:rPr>
        <w:t xml:space="preserve">Sequence. Participants bring their own control framework and map. Do not announce the authority gap in advance — a finding the room reaches is one they repeat to their own committees. Close on risk data aggregation (Part C) as the case with no incident.</w:t>
      </w:r>
    </w:p>
    <w:p>
      <w:pPr>
        <w:spacing w:after="120" w:before="0" w:line="276"/>
      </w:pPr>
      <w:r>
        <w:rPr>
          <w:b w:val="false"/>
          <w:bCs w:val="false"/>
          <w:i/>
          <w:iCs/>
          <w:color w:val="1B1A18"/>
          <w:sz w:val="20"/>
          <w:szCs w:val="20"/>
        </w:rPr>
        <w:t xml:space="preserve">The question that does the work. Which property has no owner in your framework?</w:t>
      </w:r>
    </w:p>
    <w:p>
      <w:pPr>
        <w:spacing w:after="120" w:before="0" w:line="276"/>
      </w:pPr>
      <w:r>
        <w:rPr>
          <w:b w:val="false"/>
          <w:bCs w:val="false"/>
          <w:i w:val="false"/>
          <w:iCs w:val="false"/>
          <w:color w:val="1B1A18"/>
          <w:sz w:val="20"/>
          <w:szCs w:val="20"/>
        </w:rPr>
        <w:t xml:space="preserve">Errors to expect. Receiving the six as a seventh framework to adopt. They sit beneath the framework the institution already runs; if participants start replacing existing controls with properties, stop and reframe.</w:t>
      </w:r>
    </w:p>
    <w:p>
      <w:pPr>
        <w:spacing w:after="120" w:before="0" w:line="276"/>
      </w:pPr>
      <w:r>
        <w:rPr>
          <w:b w:val="false"/>
          <w:bCs w:val="false"/>
          <w:i w:val="false"/>
          <w:iCs w:val="false"/>
          <w:color w:val="6E6A62"/>
          <w:sz w:val="18"/>
          <w:szCs w:val="18"/>
        </w:rPr>
        <w:t xml:space="preserve">In this guide: A.2, A.3  ·  Student reading: Ch. 4 (properties)</w:t>
      </w:r>
    </w:p>
    <w:p>
      <w:pPr>
        <w:pStyle w:val="Heading2"/>
        <w:spacing w:after="90" w:before="220"/>
      </w:pPr>
      <w:r>
        <w:rPr>
          <w:b/>
          <w:bCs/>
          <w:color w:val="33302B"/>
          <w:sz w:val="23"/>
          <w:szCs w:val="23"/>
        </w:rPr>
        <w:t xml:space="preserve">Module 3 · Determinism, enforcement, and oversight that cannot scale</w:t>
      </w:r>
    </w:p>
    <w:p>
      <w:pPr>
        <w:spacing w:after="120" w:before="0" w:line="276"/>
      </w:pPr>
      <w:r>
        <w:rPr>
          <w:b w:val="false"/>
          <w:bCs w:val="false"/>
          <w:i w:val="false"/>
          <w:iCs w:val="false"/>
          <w:color w:val="1B1A18"/>
          <w:sz w:val="20"/>
          <w:szCs w:val="20"/>
        </w:rPr>
        <w:t xml:space="preserve">Substance. Axioms 1 and 2 composed — a rule that admits no exception cannot be enforced by a probabilistic component. Then oversight at volume: review becomes approval because refusing carries a cost and approving does not, while the audit trail records oversight accurately throughout.</w:t>
      </w:r>
    </w:p>
    <w:p>
      <w:pPr>
        <w:spacing w:after="120" w:before="0" w:line="276"/>
      </w:pPr>
      <w:r>
        <w:rPr>
          <w:b w:val="false"/>
          <w:bCs w:val="false"/>
          <w:i w:val="false"/>
          <w:iCs w:val="false"/>
          <w:color w:val="1B1A18"/>
          <w:sz w:val="20"/>
          <w:szCs w:val="20"/>
        </w:rPr>
        <w:t xml:space="preserve">Sequence. Address test on five of the institution’s hard limits — a jurisdictional transfer prohibition, a sanctions screen, an approval ceiling, a segregation requirement, a prohibited-instrument rule. Expect at least one prompt-based answer per cohort and thank the person who volunteers it. Then the three honest responses to the oversight problem.</w:t>
      </w:r>
    </w:p>
    <w:p>
      <w:pPr>
        <w:spacing w:after="120" w:before="0" w:line="276"/>
      </w:pPr>
      <w:r>
        <w:rPr>
          <w:b w:val="false"/>
          <w:bCs w:val="false"/>
          <w:i/>
          <w:iCs/>
          <w:color w:val="1B1A18"/>
          <w:sz w:val="20"/>
          <w:szCs w:val="20"/>
        </w:rPr>
        <w:t xml:space="preserve">The question that does the work. Where is this rule physically enforced, and could anything reach the action without passing that point?</w:t>
      </w:r>
    </w:p>
    <w:p>
      <w:pPr>
        <w:spacing w:after="120" w:before="0" w:line="276"/>
      </w:pPr>
      <w:r>
        <w:rPr>
          <w:b w:val="false"/>
          <w:bCs w:val="false"/>
          <w:i w:val="false"/>
          <w:iCs w:val="false"/>
          <w:color w:val="1B1A18"/>
          <w:sz w:val="20"/>
          <w:szCs w:val="20"/>
        </w:rPr>
        <w:t xml:space="preserve">Errors to expect. Recording a model instruction as enforcement. This is the most consequential marking error in the programme; a control that rests on instructing a model must be recorded as unenforced.</w:t>
      </w:r>
    </w:p>
    <w:p>
      <w:pPr>
        <w:spacing w:after="120" w:before="0" w:line="276"/>
      </w:pPr>
      <w:r>
        <w:rPr>
          <w:b w:val="false"/>
          <w:bCs w:val="false"/>
          <w:i w:val="false"/>
          <w:iCs w:val="false"/>
          <w:color w:val="6E6A62"/>
          <w:sz w:val="18"/>
          <w:szCs w:val="18"/>
        </w:rPr>
        <w:t xml:space="preserve">In this guide: A.4, A.5  ·  Student reading: Ch. 5; Ch. 9; Ch. 18</w:t>
      </w:r>
    </w:p>
    <w:p>
      <w:pPr>
        <w:pStyle w:val="Heading2"/>
        <w:spacing w:after="90" w:before="220"/>
      </w:pPr>
      <w:r>
        <w:rPr>
          <w:b/>
          <w:bCs/>
          <w:color w:val="33302B"/>
          <w:sz w:val="23"/>
          <w:szCs w:val="23"/>
        </w:rPr>
        <w:t xml:space="preserve">Module 4 · Evidence: the record, the reconstruction, and provenance</w:t>
      </w:r>
    </w:p>
    <w:p>
      <w:pPr>
        <w:spacing w:after="120" w:before="0" w:line="276"/>
      </w:pPr>
      <w:r>
        <w:rPr>
          <w:b w:val="false"/>
          <w:bCs w:val="false"/>
          <w:i w:val="false"/>
          <w:iCs w:val="false"/>
          <w:color w:val="1B1A18"/>
          <w:sz w:val="20"/>
          <w:szCs w:val="20"/>
        </w:rPr>
        <w:t xml:space="preserve">Substance. A record is generated at the moment of action or it does not exist. The three separating questions: what was captured at execution versus derived later, does the record carry the rule version then in force, and can it be verified by a party who does not operate the system.</w:t>
      </w:r>
    </w:p>
    <w:p>
      <w:pPr>
        <w:spacing w:after="120" w:before="0" w:line="276"/>
      </w:pPr>
      <w:r>
        <w:rPr>
          <w:b w:val="false"/>
          <w:bCs w:val="false"/>
          <w:i w:val="false"/>
          <w:iCs w:val="false"/>
          <w:color w:val="1B1A18"/>
          <w:sz w:val="20"/>
          <w:szCs w:val="20"/>
        </w:rPr>
        <w:t xml:space="preserve">Sequence. Remind participants in week 3 to arrange access, or this clinic collapses into hypotheticals. Run the last-month test live, then Horizon (Part C) — carefully, without relish, and with the limit stated: it is authority for the danger of treating system output as inherently trustworthy, not for the proposition that automated records are unreliable.</w:t>
      </w:r>
    </w:p>
    <w:p>
      <w:pPr>
        <w:spacing w:after="120" w:before="0" w:line="276"/>
      </w:pPr>
      <w:r>
        <w:rPr>
          <w:b w:val="false"/>
          <w:bCs w:val="false"/>
          <w:i/>
          <w:iCs/>
          <w:color w:val="1B1A18"/>
          <w:sz w:val="20"/>
          <w:szCs w:val="20"/>
        </w:rPr>
        <w:t xml:space="preserve">The question that does the work. What was captured at execution, and what was derived later? Show me the schema, not the report.</w:t>
      </w:r>
    </w:p>
    <w:p>
      <w:pPr>
        <w:spacing w:after="120" w:before="0" w:line="276"/>
      </w:pPr>
      <w:r>
        <w:rPr>
          <w:b w:val="false"/>
          <w:bCs w:val="false"/>
          <w:i w:val="false"/>
          <w:iCs w:val="false"/>
          <w:color w:val="1B1A18"/>
          <w:sz w:val="20"/>
          <w:szCs w:val="20"/>
        </w:rPr>
        <w:t xml:space="preserve">Errors to expect. "Our audit trail is comprehensive" — usually true per system. The missing elements are who authorised the crossing and which rule version applied. Ask for one transaction and let the artefact settle it.</w:t>
      </w:r>
    </w:p>
    <w:p>
      <w:pPr>
        <w:spacing w:after="120" w:before="0" w:line="276"/>
      </w:pPr>
      <w:r>
        <w:rPr>
          <w:b w:val="false"/>
          <w:bCs w:val="false"/>
          <w:i w:val="false"/>
          <w:iCs w:val="false"/>
          <w:color w:val="6E6A62"/>
          <w:sz w:val="18"/>
          <w:szCs w:val="18"/>
        </w:rPr>
        <w:t xml:space="preserve">In this guide: A.3.3, A.3.6  ·  Student reading: Ch. 4; Ch. 12; Ch. 14–15; Ch. 18</w:t>
      </w:r>
    </w:p>
    <w:p>
      <w:pPr>
        <w:pStyle w:val="Heading2"/>
        <w:spacing w:after="90" w:before="220"/>
      </w:pPr>
      <w:r>
        <w:rPr>
          <w:b/>
          <w:bCs/>
          <w:color w:val="33302B"/>
          <w:sz w:val="23"/>
          <w:szCs w:val="23"/>
        </w:rPr>
        <w:t xml:space="preserve">Module 5 · Dependency, concentration, and cost</w:t>
      </w:r>
    </w:p>
    <w:p>
      <w:pPr>
        <w:spacing w:after="120" w:before="0" w:line="276"/>
      </w:pPr>
      <w:r>
        <w:rPr>
          <w:b w:val="false"/>
          <w:bCs w:val="false"/>
          <w:i w:val="false"/>
          <w:iCs w:val="false"/>
          <w:color w:val="1B1A18"/>
          <w:sz w:val="20"/>
          <w:szCs w:val="20"/>
        </w:rPr>
        <w:t xml:space="preserve">Substance. The census records reliance; the third-party register records arrangements. The entries that appear only in the census are the orchestration framework with no contractual counterparty and policy dependency — a provider changing what the institution may do with no outage and no price change.</w:t>
      </w:r>
    </w:p>
    <w:p>
      <w:pPr>
        <w:spacing w:after="120" w:before="0" w:line="276"/>
      </w:pPr>
      <w:r>
        <w:rPr>
          <w:b w:val="false"/>
          <w:bCs w:val="false"/>
          <w:i w:val="false"/>
          <w:iCs w:val="false"/>
          <w:color w:val="1B1A18"/>
          <w:sz w:val="20"/>
          <w:szCs w:val="20"/>
        </w:rPr>
        <w:t xml:space="preserve">Sequence. Participants will assume the census is their existing register. Let them discover the difference by building both columns. Then substitution and the two-invoices test, closing on the inference: the absent record that hides cost per action hides exposure per action.</w:t>
      </w:r>
    </w:p>
    <w:p>
      <w:pPr>
        <w:spacing w:after="120" w:before="0" w:line="276"/>
      </w:pPr>
      <w:r>
        <w:rPr>
          <w:b w:val="false"/>
          <w:bCs w:val="false"/>
          <w:i/>
          <w:iCs/>
          <w:color w:val="1B1A18"/>
          <w:sz w:val="20"/>
          <w:szCs w:val="20"/>
        </w:rPr>
        <w:t xml:space="preserve">The question that does the work. What is in your census that is not in your register?</w:t>
      </w:r>
    </w:p>
    <w:p>
      <w:pPr>
        <w:spacing w:after="120" w:before="0" w:line="276"/>
      </w:pPr>
      <w:r>
        <w:rPr>
          <w:b w:val="false"/>
          <w:bCs w:val="false"/>
          <w:i w:val="false"/>
          <w:iCs w:val="false"/>
          <w:color w:val="1B1A18"/>
          <w:sz w:val="20"/>
          <w:szCs w:val="20"/>
        </w:rPr>
        <w:t xml:space="preserve">Errors to expect. Assessing concentration only at the cloud layer. Model-layer concentration is currently higher and less visible, because it usually arrives through an application vendor.</w:t>
      </w:r>
    </w:p>
    <w:p>
      <w:pPr>
        <w:spacing w:after="120" w:before="0" w:line="276"/>
      </w:pPr>
      <w:r>
        <w:rPr>
          <w:b w:val="false"/>
          <w:bCs w:val="false"/>
          <w:i w:val="false"/>
          <w:iCs w:val="false"/>
          <w:color w:val="6E6A62"/>
          <w:sz w:val="18"/>
          <w:szCs w:val="18"/>
        </w:rPr>
        <w:t xml:space="preserve">In this guide: A.5  ·  Student reading: Ch. 16–17; Ch. 19–20</w:t>
      </w:r>
    </w:p>
    <w:p>
      <w:pPr>
        <w:pStyle w:val="Heading2"/>
        <w:spacing w:after="90" w:before="220"/>
      </w:pPr>
      <w:r>
        <w:rPr>
          <w:b/>
          <w:bCs/>
          <w:color w:val="33302B"/>
          <w:sz w:val="23"/>
          <w:szCs w:val="23"/>
        </w:rPr>
        <w:t xml:space="preserve">Module 6 · The protocol, the rules, and the capstone</w:t>
      </w:r>
    </w:p>
    <w:p>
      <w:pPr>
        <w:spacing w:after="120" w:before="0" w:line="276"/>
      </w:pPr>
      <w:r>
        <w:rPr>
          <w:b w:val="false"/>
          <w:bCs w:val="false"/>
          <w:i w:val="false"/>
          <w:iCs w:val="false"/>
          <w:color w:val="1B1A18"/>
          <w:sz w:val="20"/>
          <w:szCs w:val="20"/>
        </w:rPr>
        <w:t xml:space="preserve">Substance. The full protocol and the six rules with the rule above them. The capstone constraint is the programme’s point: the assessment must be written in the institution’s control vocabulary — control owners, enforcement points, evidence of operating effectiveness, residual risk.</w:t>
      </w:r>
    </w:p>
    <w:p>
      <w:pPr>
        <w:spacing w:after="120" w:before="0" w:line="276"/>
      </w:pPr>
      <w:r>
        <w:rPr>
          <w:b w:val="false"/>
          <w:bCs w:val="false"/>
          <w:i w:val="false"/>
          <w:iCs w:val="false"/>
          <w:color w:val="1B1A18"/>
          <w:sz w:val="20"/>
          <w:szCs w:val="20"/>
        </w:rPr>
        <w:t xml:space="preserve">Sequence. Run the protocol against the supplied vendor case first, on neutral ground. Then cross-line peer review — audit reviewing first line, second line reviewing finance. Cross-line review is where participants discover their verdicts read as accusations, which is the last skill the programme teaches.</w:t>
      </w:r>
    </w:p>
    <w:p>
      <w:pPr>
        <w:spacing w:after="120" w:before="0" w:line="276"/>
      </w:pPr>
      <w:r>
        <w:rPr>
          <w:b w:val="false"/>
          <w:bCs w:val="false"/>
          <w:i/>
          <w:iCs/>
          <w:color w:val="1B1A18"/>
          <w:sz w:val="20"/>
          <w:szCs w:val="20"/>
        </w:rPr>
        <w:t xml:space="preserve">The question that does the work. Would a risk committee that has not taken this course be able to act on this finding?</w:t>
      </w:r>
    </w:p>
    <w:p>
      <w:pPr>
        <w:spacing w:after="120" w:before="0" w:line="276"/>
      </w:pPr>
      <w:r>
        <w:rPr>
          <w:b w:val="false"/>
          <w:bCs w:val="false"/>
          <w:i w:val="false"/>
          <w:iCs w:val="false"/>
          <w:color w:val="1B1A18"/>
          <w:sz w:val="20"/>
          <w:szCs w:val="20"/>
        </w:rPr>
        <w:t xml:space="preserve">Errors to expect. Capstones written in the course’s vocabulary. A report requiring the reader to know what a crossing is has failed, whatever its analytical quality.</w:t>
      </w:r>
    </w:p>
    <w:p>
      <w:pPr>
        <w:spacing w:after="120" w:before="0" w:line="276"/>
      </w:pPr>
      <w:r>
        <w:rPr>
          <w:b w:val="false"/>
          <w:bCs w:val="false"/>
          <w:i w:val="false"/>
          <w:iCs w:val="false"/>
          <w:color w:val="6E6A62"/>
          <w:sz w:val="18"/>
          <w:szCs w:val="18"/>
        </w:rPr>
        <w:t xml:space="preserve">In this guide: A.5, A.6  ·  Student reading: Ch. 22–23</w:t>
      </w:r>
    </w:p>
    <w:p>
      <w:pPr>
        <w:pStyle w:val="Heading1"/>
        <w:spacing w:after="130" w:before="300"/>
      </w:pPr>
      <w:r>
        <w:rPr>
          <w:b/>
          <w:bCs/>
          <w:color w:val="33302B"/>
          <w:sz w:val="29"/>
          <w:szCs w:val="29"/>
        </w:rPr>
        <w:t xml:space="preserve">Part C · The cases, with facts</w:t>
      </w:r>
    </w:p>
    <w:p>
      <w:pPr>
        <w:spacing w:after="140" w:line="276"/>
      </w:pPr>
      <w:r>
        <w:rPr>
          <w:i/>
          <w:iCs/>
          <w:color w:val="6E6A62"/>
          <w:sz w:val="20"/>
          <w:szCs w:val="20"/>
        </w:rPr>
        <w:t xml:space="preserve">Everything needed to teach each case is here. Sourcing discipline: each traces to a court judgment, regulatory proceeding, official investigation, or company admission. Verify figures against the primary source before teaching — amounts and dates may have moved on appeal or in settlement, and the judgment beneath the figure is what the session actually needs.</w:t>
      </w:r>
    </w:p>
    <w:p>
      <w:pPr>
        <w:spacing w:after="70" w:before="160"/>
      </w:pPr>
      <w:r>
        <w:rPr>
          <w:b/>
          <w:bCs/>
          <w:color w:val="57534A"/>
          <w:sz w:val="20"/>
          <w:szCs w:val="20"/>
        </w:rPr>
        <w:t xml:space="preserve">The four hundred</w:t>
      </w:r>
    </w:p>
    <w:p>
      <w:pPr>
        <w:spacing w:after="90" w:before="0" w:line="276"/>
      </w:pPr>
      <w:r>
        <w:rPr>
          <w:b w:val="false"/>
          <w:bCs w:val="false"/>
          <w:i/>
          <w:iCs/>
          <w:color w:val="6E6A62"/>
          <w:sz w:val="20"/>
          <w:szCs w:val="20"/>
        </w:rPr>
        <w:t xml:space="preserve">Source: The book’s running example, and the fastest way to make the whole argument.</w:t>
      </w:r>
    </w:p>
    <w:p>
      <w:pPr>
        <w:spacing w:after="120" w:before="0" w:line="276"/>
      </w:pPr>
      <w:r>
        <w:rPr>
          <w:b w:val="false"/>
          <w:bCs w:val="false"/>
          <w:i w:val="false"/>
          <w:iCs w:val="false"/>
          <w:color w:val="1B1A18"/>
          <w:sz w:val="20"/>
          <w:szCs w:val="20"/>
        </w:rPr>
        <w:t xml:space="preserve">An approval limit of four hundred is a hard ceiling: above it, second authorisation is required. In one system this is a validation rule — testable, documentable, enforced in one place. Distribute the work: one process originates the request, a second evaluates it against a retrieved policy, a third submits it through an integration written years ago. The figure four hundred arrives as a number. The condition that made it a ceiling rather than a budget was never part of the payload, because no interface was specified to carry it. An order is placed above the cap. Nothing malfunctioned, every value was accurate, and the obligation was satisfied nowhere — because it had been assigned to nothing.</w:t>
      </w:r>
    </w:p>
    <w:p>
      <w:pPr>
        <w:spacing w:after="70" w:before="160"/>
      </w:pPr>
      <w:r>
        <w:rPr>
          <w:b/>
          <w:bCs/>
          <w:color w:val="57534A"/>
          <w:sz w:val="20"/>
          <w:szCs w:val="20"/>
        </w:rPr>
        <w:t xml:space="preserve">Risk data aggregation</w:t>
      </w:r>
    </w:p>
    <w:p>
      <w:pPr>
        <w:spacing w:after="90" w:before="0" w:line="276"/>
      </w:pPr>
      <w:r>
        <w:rPr>
          <w:b w:val="false"/>
          <w:bCs w:val="false"/>
          <w:i/>
          <w:iCs/>
          <w:color w:val="6E6A62"/>
          <w:sz w:val="20"/>
          <w:szCs w:val="20"/>
        </w:rPr>
        <w:t xml:space="preserve">Source: Basel Committee, Principles for effective risk data aggregation and risk reporting (2013), and subsequent supervisory progress reviews.</w:t>
      </w:r>
    </w:p>
    <w:p>
      <w:pPr>
        <w:spacing w:after="120" w:before="0" w:line="276"/>
      </w:pPr>
      <w:r>
        <w:rPr>
          <w:b w:val="false"/>
          <w:bCs w:val="false"/>
          <w:i w:val="false"/>
          <w:iCs w:val="false"/>
          <w:color w:val="1B1A18"/>
          <w:sz w:val="20"/>
          <w:szCs w:val="20"/>
        </w:rPr>
        <w:t xml:space="preserve">Fourteen principles requiring accuracy and integrity, completeness, timeliness, adaptability and lineage. Supervisory reviews have found adoption incomplete more than a decade later, at institutions with substantial budgets and genuine intent. There is no single incident, no penalty and no named firm — which is why it is the strongest case in the set for a governance audience. The principles were already being satisfied, by people standing at boundaries, and the effort was invisible because it was salaried. The architecture was never asked to do it.</w:t>
      </w:r>
    </w:p>
    <w:p>
      <w:pPr>
        <w:spacing w:after="70" w:before="160"/>
      </w:pPr>
      <w:r>
        <w:rPr>
          <w:b/>
          <w:bCs/>
          <w:color w:val="57534A"/>
          <w:sz w:val="20"/>
          <w:szCs w:val="20"/>
        </w:rPr>
        <w:t xml:space="preserve">Knight Capital</w:t>
      </w:r>
    </w:p>
    <w:p>
      <w:pPr>
        <w:spacing w:after="90" w:before="0" w:line="276"/>
      </w:pPr>
      <w:r>
        <w:rPr>
          <w:b w:val="false"/>
          <w:bCs w:val="false"/>
          <w:i/>
          <w:iCs/>
          <w:color w:val="6E6A62"/>
          <w:sz w:val="20"/>
          <w:szCs w:val="20"/>
        </w:rPr>
        <w:t xml:space="preserve">Source: US Securities and Exchange Commission administrative proceeding, 2013.</w:t>
      </w:r>
    </w:p>
    <w:p>
      <w:pPr>
        <w:spacing w:after="120" w:before="0" w:line="276"/>
      </w:pPr>
      <w:r>
        <w:rPr>
          <w:b w:val="false"/>
          <w:bCs w:val="false"/>
          <w:i w:val="false"/>
          <w:iCs w:val="false"/>
          <w:color w:val="1B1A18"/>
          <w:sz w:val="20"/>
          <w:szCs w:val="20"/>
        </w:rPr>
        <w:t xml:space="preserve">In August 2012 a deployment left obsolete code active on one of eight servers. Order routing behaved exactly as written; the firm lost approximately 460 million dollars in roughly forty-five minutes and did not survive as an independent company. The proceeding addressed the absence of adequate controls and supervisory procedures around market access rather than any analytical defect. No model was wrong. A change crossed into production without the properties that would have caught it.</w:t>
      </w:r>
    </w:p>
    <w:p>
      <w:pPr>
        <w:spacing w:after="70" w:before="160"/>
      </w:pPr>
      <w:r>
        <w:rPr>
          <w:b/>
          <w:bCs/>
          <w:color w:val="57534A"/>
          <w:sz w:val="20"/>
          <w:szCs w:val="20"/>
        </w:rPr>
        <w:t xml:space="preserve">AUSTRAC v Commonwealth Bank</w:t>
      </w:r>
    </w:p>
    <w:p>
      <w:pPr>
        <w:spacing w:after="90" w:before="0" w:line="276"/>
      </w:pPr>
      <w:r>
        <w:rPr>
          <w:b w:val="false"/>
          <w:bCs w:val="false"/>
          <w:i/>
          <w:iCs/>
          <w:color w:val="6E6A62"/>
          <w:sz w:val="20"/>
          <w:szCs w:val="20"/>
        </w:rPr>
        <w:t xml:space="preserve">Source: Federal Court of Australia, [2018] FCA 930.</w:t>
      </w:r>
    </w:p>
    <w:p>
      <w:pPr>
        <w:spacing w:after="120" w:before="0" w:line="276"/>
      </w:pPr>
      <w:r>
        <w:rPr>
          <w:b w:val="false"/>
          <w:bCs w:val="false"/>
          <w:i w:val="false"/>
          <w:iCs w:val="false"/>
          <w:color w:val="1B1A18"/>
          <w:sz w:val="20"/>
          <w:szCs w:val="20"/>
        </w:rPr>
        <w:t xml:space="preserve">A software change in an automated deposit machine channel meant threshold transaction reports were not generated for a large volume of transactions over several years. Proceedings concluded in 2018 with a substantial agreed civil penalty. The obligation was never in doubt; the system’s behaviour after a change no longer satisfied it, and nothing at the boundary noticed for years. The teaching question is detection: what would have had to exist for the gap to surface in the first month rather than after several years?</w:t>
      </w:r>
    </w:p>
    <w:p>
      <w:pPr>
        <w:spacing w:after="70" w:before="160"/>
      </w:pPr>
      <w:r>
        <w:rPr>
          <w:b/>
          <w:bCs/>
          <w:color w:val="57534A"/>
          <w:sz w:val="20"/>
          <w:szCs w:val="20"/>
        </w:rPr>
        <w:t xml:space="preserve">Phoenix pay system</w:t>
      </w:r>
    </w:p>
    <w:p>
      <w:pPr>
        <w:spacing w:after="90" w:before="0" w:line="276"/>
      </w:pPr>
      <w:r>
        <w:rPr>
          <w:b w:val="false"/>
          <w:bCs w:val="false"/>
          <w:i/>
          <w:iCs/>
          <w:color w:val="6E6A62"/>
          <w:sz w:val="20"/>
          <w:szCs w:val="20"/>
        </w:rPr>
        <w:t xml:space="preserve">Source: Office of the Auditor General of Canada reports; parliamentary committee reporting.</w:t>
      </w:r>
    </w:p>
    <w:p>
      <w:pPr>
        <w:spacing w:after="120" w:before="0" w:line="276"/>
      </w:pPr>
      <w:r>
        <w:rPr>
          <w:b w:val="false"/>
          <w:bCs w:val="false"/>
          <w:i w:val="false"/>
          <w:iCs w:val="false"/>
          <w:color w:val="1B1A18"/>
          <w:sz w:val="20"/>
          <w:szCs w:val="20"/>
        </w:rPr>
        <w:t xml:space="preserve">A national payroll consolidation centralised pay administration and introduced a new system. The pay advisers who held the interpretive knowledge of collective agreements, acting arrangements and entitlement edge cases were removed from the process. Hundreds of thousands of pay errors followed, remediation ran for years, and cost far exceeded the savings the programme was built to deliver. What is absent from the record is any technical failure large enough to explain the outcome. The tasks moved; the carriers of meaning did not, and no system had been asked to hold what they held because nobody had noticed they were holding it.</w:t>
      </w:r>
    </w:p>
    <w:p>
      <w:pPr>
        <w:spacing w:after="70" w:before="160"/>
      </w:pPr>
      <w:r>
        <w:rPr>
          <w:b/>
          <w:bCs/>
          <w:color w:val="57534A"/>
          <w:sz w:val="20"/>
          <w:szCs w:val="20"/>
        </w:rPr>
        <w:t xml:space="preserve">Post Office Horizon</w:t>
      </w:r>
    </w:p>
    <w:p>
      <w:pPr>
        <w:spacing w:after="90" w:before="0" w:line="276"/>
      </w:pPr>
      <w:r>
        <w:rPr>
          <w:b w:val="false"/>
          <w:bCs w:val="false"/>
          <w:i/>
          <w:iCs/>
          <w:color w:val="6E6A62"/>
          <w:sz w:val="20"/>
          <w:szCs w:val="20"/>
        </w:rPr>
        <w:t xml:space="preserve">Source: Bates and others v Post Office Limited; the subsequent statutory inquiry; Court of Appeal judgments.</w:t>
      </w:r>
    </w:p>
    <w:p>
      <w:pPr>
        <w:spacing w:after="120" w:before="0" w:line="276"/>
      </w:pPr>
      <w:r>
        <w:rPr>
          <w:b w:val="false"/>
          <w:bCs w:val="false"/>
          <w:i w:val="false"/>
          <w:iCs w:val="false"/>
          <w:color w:val="1B1A18"/>
          <w:sz w:val="20"/>
          <w:szCs w:val="20"/>
        </w:rPr>
        <w:t xml:space="preserve">Accounting system output was treated as independently reliable in disputes with, and prosecutions of, sub-postmasters over two decades. More than nine hundred prosecutions followed and 236 people were imprisoned. Litigation and a statutory inquiry established that the system’s reliability had been asserted rather than demonstrated. Handle without relish: people went to prison. The narrow, transferable lesson is that nobody asked whether the record could be verified by a party who did not operate the system. It is authority for the danger of treating system output as inherently trustworthy — not for the proposition that automated records are unreliable, and over-reading it costs credibility.</w:t>
      </w:r>
    </w:p>
    <w:p>
      <w:pPr>
        <w:pStyle w:val="Heading1"/>
        <w:spacing w:after="130" w:before="300"/>
      </w:pPr>
      <w:r>
        <w:rPr>
          <w:b/>
          <w:bCs/>
          <w:color w:val="33302B"/>
          <w:sz w:val="29"/>
          <w:szCs w:val="29"/>
        </w:rPr>
        <w:t xml:space="preserve">Part D · Objections, and the errors that recur</w:t>
      </w:r>
    </w:p>
    <w:p>
      <w:pPr>
        <w:spacing w:after="140" w:line="276"/>
      </w:pPr>
      <w:r>
        <w:rPr>
          <w:i/>
          <w:iCs/>
          <w:color w:val="6E6A62"/>
          <w:sz w:val="20"/>
          <w:szCs w:val="20"/>
        </w:rPr>
        <w:t xml:space="preserve">Every objection below will come. Concede the true part of each before answering it — that concession is most of the instructor’s credibility.</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400"/>
        <w:gridCol w:w="6680"/>
      </w:tblGrid>
      <w:tr>
        <w:trPr>
          <w:tblHeader/>
        </w:trPr>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Objection</w:t>
            </w:r>
          </w:p>
        </w:tc>
        <w:tc>
          <w:tcPr>
            <w:tcW w:type="dxa" w:w="6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Response</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"We already have model risk management for this."</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Concede fully — it is the most developed AI governance discipline in existence and predates this wave by fifteen years. Then locate the mismatch: it governs components, and in an agentic deployment the model is frequently the least risky part. A validated model inside an unvalidated crossing is a component certificate for a system nobody assessed. Position the properties as extending the unit of governance, never as replacing validation.</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"This is just another framework."</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Agree that the institution needs no seventh framework, then show that five of the six properties are already required by instruments it holds. The programme finds unowned obligations; it does not add new ones.</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"Our vendor has attested to all of this."</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vocabulary of custody is now used by systems that do not implement it, and words cannot tell the two apart. Ask what a demonstration would look like, then note that it needs no source code, weights or training data — so the trade-secret objection does not reach it.</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"We are not using agentic AI yet."</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Usually wrong at the institutional level. Ask whether any team uses AI-assisted code generation, retrieval over internal documents, or a vendor feature that acts rather than suggests.</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"The regulator has not asked for this."</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Correct and beside the point: the instruments already asked for the properties. Supervisory attention tends to run ahead of supervisory instruction, which is the usual order.</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"We cannot run these tests on a vendor-hosted system."</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Welcome this one. Every test is a demonstration at a boundary, observable from outside. If the contract does not provide the right, that is a procurement finding — and the drafting schedule in the legal practice folder supplies the terms.</w:t>
            </w:r>
          </w:p>
        </w:tc>
      </w:tr>
    </w:tbl>
    <w:p>
      <w:pPr>
        <w:spacing w:after="130"/>
      </w:pPr>
    </w:p>
    <w:p>
      <w:pPr>
        <w:spacing w:after="70" w:before="160"/>
      </w:pPr>
      <w:r>
        <w:rPr>
          <w:b/>
          <w:bCs/>
          <w:color w:val="57534A"/>
          <w:sz w:val="20"/>
          <w:szCs w:val="20"/>
        </w:rPr>
        <w:t xml:space="preserve">The recurring errors, in order of how much damage they do</w:t>
      </w:r>
    </w:p>
    <w:p>
      <w:pPr>
        <w:pStyle w:val="ListParagraph"/>
        <w:numPr>
          <w:ilvl w:val="0"/>
          <w:numId w:val="2"/>
        </w:numPr>
        <w:spacing w:after="70" w:line="276"/>
      </w:pPr>
      <w:r>
        <w:rPr>
          <w:b/>
          <w:bCs/>
          <w:color w:val="1B1A18"/>
          <w:sz w:val="20"/>
          <w:szCs w:val="20"/>
        </w:rPr>
        <w:t xml:space="preserve">Explaining why governance matters. </w:t>
      </w:r>
      <w:r>
        <w:rPr>
          <w:color w:val="1B1A18"/>
          <w:sz w:val="20"/>
          <w:szCs w:val="20"/>
        </w:rPr>
        <w:t xml:space="preserve">This room runs governance, several of them for longer than the instructor has. The gap is satisfiability and evidence, not importance. An instructor who opens on importance loses them in twenty minutes and does not get them back.</w:t>
      </w:r>
    </w:p>
    <w:p>
      <w:pPr>
        <w:pStyle w:val="ListParagraph"/>
        <w:numPr>
          <w:ilvl w:val="0"/>
          <w:numId w:val="2"/>
        </w:numPr>
        <w:spacing w:after="70" w:line="276"/>
      </w:pPr>
      <w:r>
        <w:rPr>
          <w:b/>
          <w:bCs/>
          <w:color w:val="1B1A18"/>
          <w:sz w:val="20"/>
          <w:szCs w:val="20"/>
        </w:rPr>
        <w:t xml:space="preserve">Announcing the authority gap in session 2. </w:t>
      </w:r>
      <w:r>
        <w:rPr>
          <w:color w:val="1B1A18"/>
          <w:sz w:val="20"/>
          <w:szCs w:val="20"/>
        </w:rPr>
        <w:t xml:space="preserve">A finding the room reaches is one they carry to their own committees. A finding announced is a slide.</w:t>
      </w:r>
    </w:p>
    <w:p>
      <w:pPr>
        <w:pStyle w:val="ListParagraph"/>
        <w:numPr>
          <w:ilvl w:val="0"/>
          <w:numId w:val="2"/>
        </w:numPr>
        <w:spacing w:after="70" w:line="276"/>
      </w:pPr>
      <w:r>
        <w:rPr>
          <w:b/>
          <w:bCs/>
          <w:color w:val="1B1A18"/>
          <w:sz w:val="20"/>
          <w:szCs w:val="20"/>
        </w:rPr>
        <w:t xml:space="preserve">Marking a model instruction as an enforcement point. </w:t>
      </w:r>
      <w:r>
        <w:rPr>
          <w:color w:val="1B1A18"/>
          <w:sz w:val="20"/>
          <w:szCs w:val="20"/>
        </w:rPr>
        <w:t xml:space="preserve">The single most consequential error available in this programme. Any answer whose effect is statistical is unenforced.</w:t>
      </w:r>
    </w:p>
    <w:p>
      <w:pPr>
        <w:pStyle w:val="ListParagraph"/>
        <w:numPr>
          <w:ilvl w:val="0"/>
          <w:numId w:val="2"/>
        </w:numPr>
        <w:spacing w:after="70" w:line="276"/>
      </w:pPr>
      <w:r>
        <w:rPr>
          <w:b/>
          <w:bCs/>
          <w:color w:val="1B1A18"/>
          <w:sz w:val="20"/>
          <w:szCs w:val="20"/>
        </w:rPr>
        <w:t xml:space="preserve">Letting the census become the register. </w:t>
      </w:r>
      <w:r>
        <w:rPr>
          <w:color w:val="1B1A18"/>
          <w:sz w:val="20"/>
          <w:szCs w:val="20"/>
        </w:rPr>
        <w:t xml:space="preserve">If participants leave believing they are the same document, session 5 achieved nothing.</w:t>
      </w:r>
    </w:p>
    <w:p>
      <w:pPr>
        <w:pStyle w:val="ListParagraph"/>
        <w:numPr>
          <w:ilvl w:val="0"/>
          <w:numId w:val="2"/>
        </w:numPr>
        <w:spacing w:after="70" w:line="276"/>
      </w:pPr>
      <w:r>
        <w:rPr>
          <w:b/>
          <w:bCs/>
          <w:color w:val="1B1A18"/>
          <w:sz w:val="20"/>
          <w:szCs w:val="20"/>
        </w:rPr>
        <w:t xml:space="preserve">Rewarding the course vocabulary in capstones. </w:t>
      </w:r>
      <w:r>
        <w:rPr>
          <w:color w:val="1B1A18"/>
          <w:sz w:val="20"/>
          <w:szCs w:val="20"/>
        </w:rPr>
        <w:t xml:space="preserve">The translation into the institution’s control language is the assessed skill. Rewarding crossings and custody undermines the assessment’s only purpose.</w:t>
      </w:r>
    </w:p>
    <w:p>
      <w:pPr>
        <w:pStyle w:val="ListParagraph"/>
        <w:numPr>
          <w:ilvl w:val="0"/>
          <w:numId w:val="2"/>
        </w:numPr>
        <w:spacing w:after="70" w:line="276"/>
      </w:pPr>
      <w:r>
        <w:rPr>
          <w:b/>
          <w:bCs/>
          <w:color w:val="1B1A18"/>
          <w:sz w:val="20"/>
          <w:szCs w:val="20"/>
        </w:rPr>
        <w:t xml:space="preserve">Failing to declare a commercial interest. </w:t>
      </w:r>
      <w:r>
        <w:rPr>
          <w:color w:val="1B1A18"/>
          <w:sz w:val="20"/>
          <w:szCs w:val="20"/>
        </w:rPr>
        <w:t xml:space="preserve">If the instructor works for a supplier, say so in session 1 and invite the room to run the protocol hardest against that supplier.</w:t>
      </w:r>
    </w:p>
    <w:p>
      <w:pPr>
        <w:pStyle w:val="Heading1"/>
        <w:spacing w:after="130" w:before="300"/>
      </w:pPr>
      <w:r>
        <w:rPr>
          <w:b/>
          <w:bCs/>
          <w:color w:val="33302B"/>
          <w:sz w:val="29"/>
          <w:szCs w:val="29"/>
        </w:rPr>
        <w:t xml:space="preserve">Instructor discipline</w:t>
      </w:r>
    </w:p>
    <w:p>
      <w:pPr>
        <w:pStyle w:val="ListParagraph"/>
        <w:numPr>
          <w:ilvl w:val="0"/>
          <w:numId w:val="2"/>
        </w:numPr>
        <w:spacing w:after="70" w:line="276"/>
      </w:pPr>
      <w:r>
        <w:rPr>
          <w:b/>
          <w:bCs/>
          <w:color w:val="1B1A18"/>
          <w:sz w:val="20"/>
          <w:szCs w:val="20"/>
        </w:rPr>
        <w:t xml:space="preserve">Never name a supplier as compliant or deficient. </w:t>
      </w:r>
      <w:r>
        <w:rPr>
          <w:color w:val="1B1A18"/>
          <w:sz w:val="20"/>
          <w:szCs w:val="20"/>
        </w:rPr>
        <w:t xml:space="preserve">Students will ask directly. Decline and hand back the protocol, which is the more useful answer and the only defensible one.</w:t>
      </w:r>
    </w:p>
    <w:p>
      <w:pPr>
        <w:pStyle w:val="ListParagraph"/>
        <w:numPr>
          <w:ilvl w:val="0"/>
          <w:numId w:val="2"/>
        </w:numPr>
        <w:spacing w:after="70" w:line="276"/>
      </w:pPr>
      <w:r>
        <w:rPr>
          <w:b/>
          <w:bCs/>
          <w:color w:val="1B1A18"/>
          <w:sz w:val="20"/>
          <w:szCs w:val="20"/>
        </w:rPr>
        <w:t xml:space="preserve">The failures are the teaching instrument. </w:t>
      </w:r>
      <w:r>
        <w:rPr>
          <w:color w:val="1B1A18"/>
          <w:sz w:val="20"/>
          <w:szCs w:val="20"/>
        </w:rPr>
        <w:t xml:space="preserve">A property cannot be seen; its absence can be recognised by the damage. When a session stalls, stop explaining the property and ask what its absence would look like on a Tuesday afternoon.</w:t>
      </w:r>
    </w:p>
    <w:p>
      <w:pPr>
        <w:pStyle w:val="ListParagraph"/>
        <w:numPr>
          <w:ilvl w:val="0"/>
          <w:numId w:val="2"/>
        </w:numPr>
        <w:spacing w:after="70" w:line="276"/>
      </w:pPr>
      <w:r>
        <w:rPr>
          <w:b/>
          <w:bCs/>
          <w:color w:val="1B1A18"/>
          <w:sz w:val="20"/>
          <w:szCs w:val="20"/>
        </w:rPr>
        <w:t xml:space="preserve">Demonstration over documentation, in the classroom too. </w:t>
      </w:r>
      <w:r>
        <w:rPr>
          <w:color w:val="1B1A18"/>
          <w:sz w:val="20"/>
          <w:szCs w:val="20"/>
        </w:rPr>
        <w:t xml:space="preserve">Any claim a student makes about a system should be met with: show me the crossing, and show me what survives it.</w:t>
      </w:r>
    </w:p>
    <w:p>
      <w:pPr>
        <w:pStyle w:val="ListParagraph"/>
        <w:numPr>
          <w:ilvl w:val="0"/>
          <w:numId w:val="2"/>
        </w:numPr>
        <w:spacing w:after="70" w:line="276"/>
      </w:pPr>
      <w:r>
        <w:rPr>
          <w:b/>
          <w:bCs/>
          <w:color w:val="1B1A18"/>
          <w:sz w:val="20"/>
          <w:szCs w:val="20"/>
        </w:rPr>
        <w:t xml:space="preserve">Concede the limits early. </w:t>
      </w:r>
      <w:r>
        <w:rPr>
          <w:color w:val="1B1A18"/>
          <w:sz w:val="20"/>
          <w:szCs w:val="20"/>
        </w:rPr>
        <w:t xml:space="preserve">Custody of the six says nothing about model accuracy, bias, fair outcomes, or capital. It is necessary and not sufficient. Say so in the first session; a bounded claim is trusted and a total one is not.</w:t>
      </w:r>
    </w:p>
    <w:p>
      <w:pPr>
        <w:pStyle w:val="ListParagraph"/>
        <w:numPr>
          <w:ilvl w:val="0"/>
          <w:numId w:val="2"/>
        </w:numPr>
        <w:spacing w:after="70" w:line="276"/>
      </w:pPr>
      <w:r>
        <w:rPr>
          <w:b/>
          <w:bCs/>
          <w:color w:val="1B1A18"/>
          <w:sz w:val="20"/>
          <w:szCs w:val="20"/>
        </w:rPr>
        <w:t xml:space="preserve">Declare any commercial interest in the first session. </w:t>
      </w:r>
      <w:r>
        <w:rPr>
          <w:color w:val="1B1A18"/>
          <w:sz w:val="20"/>
          <w:szCs w:val="20"/>
        </w:rPr>
        <w:t xml:space="preserve">If the instructor works for a supplier, say so and invite the room to run the protocol hardest against that supplier. It costs nothing and buys the rest of the course.</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MZ-EDU-IG-FS v2.0  •  instructor guide · self-contained — no book lookup required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PCERT-FS instructor guide · self-contained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2026-08-19T17:43:31.921Z</dcterms:created>
  <dcterms:modified xsi:type="dcterms:W3CDTF">2026-08-19T17:43:31.921Z</dcterms:modified>
</cp:coreProperties>
</file>

<file path=docProps/custom.xml><?xml version="1.0" encoding="utf-8"?>
<Properties xmlns="http://schemas.openxmlformats.org/officeDocument/2006/custom-properties" xmlns:vt="http://schemas.openxmlformats.org/officeDocument/2006/docPropsVTypes"/>
</file>