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00"/>
      </w:pPr>
      <w:r>
        <w:rPr>
          <w:b/>
          <w:bCs/>
          <w:caps/>
          <w:color w:val="33302B"/>
          <w:spacing w:val="40"/>
          <w:sz w:val="21"/>
          <w:szCs w:val="21"/>
        </w:rPr>
        <w:t xml:space="preserve">Team project</w:t>
      </w:r>
    </w:p>
    <w:p>
      <w:pPr>
        <w:pBdr>
          <w:bottom w:val="single" w:color="33302B" w:sz="12"/>
        </w:pBdr>
        <w:spacing w:after="120"/>
      </w:pPr>
      <w:r>
        <w:rPr>
          <w:b/>
          <w:bCs/>
          <w:color w:val="1B1A18"/>
          <w:sz w:val="47"/>
          <w:szCs w:val="47"/>
        </w:rPr>
        <w:t xml:space="preserve">The Crossing Map</w:t>
      </w:r>
    </w:p>
    <w:p>
      <w:pPr>
        <w:spacing w:after="300" w:before="140"/>
      </w:pPr>
      <w:r>
        <w:rPr>
          <w:i/>
          <w:iCs/>
          <w:color w:val="6E6A62"/>
          <w:sz w:val="23"/>
          <w:szCs w:val="23"/>
        </w:rPr>
        <w:t xml:space="preserve">Project kit: brief, milestones, templates, and grading rubric</w:t>
      </w:r>
    </w:p>
    <w:p>
      <w:pPr>
        <w:spacing w:after="40" w:line="276"/>
      </w:pPr>
      <w:r>
        <w:rPr>
          <w:b/>
          <w:bCs/>
          <w:color w:val="1B1A18"/>
          <w:sz w:val="20"/>
          <w:szCs w:val="20"/>
        </w:rPr>
        <w:t xml:space="preserve">Course: </w:t>
      </w:r>
      <w:r>
        <w:rPr>
          <w:color w:val="1B1A18"/>
          <w:sz w:val="20"/>
          <w:szCs w:val="20"/>
        </w:rPr>
        <w:t xml:space="preserve">Foundations of the Agentic Enterprise (BSc)</w:t>
      </w:r>
    </w:p>
    <w:p>
      <w:pPr>
        <w:spacing w:after="40" w:line="276"/>
      </w:pPr>
      <w:r>
        <w:rPr>
          <w:b/>
          <w:bCs/>
          <w:color w:val="1B1A18"/>
          <w:sz w:val="20"/>
          <w:szCs w:val="20"/>
        </w:rPr>
        <w:t xml:space="preserve">Source text: </w:t>
      </w:r>
      <w:r>
        <w:rPr>
          <w:i/>
          <w:iCs/>
          <w:color w:val="1B1A18"/>
          <w:sz w:val="20"/>
          <w:szCs w:val="20"/>
        </w:rPr>
        <w:t xml:space="preserve">What the Structure Does Not Carry</w:t>
      </w:r>
      <w:r>
        <w:rPr>
          <w:color w:val="1B1A18"/>
          <w:sz w:val="20"/>
          <w:szCs w:val="20"/>
        </w:rPr>
        <w:t xml:space="preserve"> — Georg Zangl (2026)</w:t>
      </w:r>
    </w:p>
    <w:p>
      <w:pPr>
        <w:spacing w:after="300" w:line="276"/>
      </w:pPr>
      <w:r>
        <w:rPr>
          <w:b/>
          <w:bCs/>
          <w:color w:val="1B1A18"/>
          <w:sz w:val="20"/>
          <w:szCs w:val="20"/>
        </w:rPr>
        <w:t xml:space="preserve">Instructor: </w:t>
      </w:r>
      <w:r>
        <w:rPr>
          <w:color w:val="1B1A18"/>
          <w:sz w:val="20"/>
          <w:szCs w:val="20"/>
        </w:rPr>
        <w:t xml:space="preserve">[Instructor name]     </w:t>
      </w:r>
      <w:r>
        <w:rPr>
          <w:b/>
          <w:bCs/>
          <w:color w:val="1B1A18"/>
          <w:sz w:val="20"/>
          <w:szCs w:val="20"/>
        </w:rPr>
        <w:t xml:space="preserve">Term: </w:t>
      </w:r>
      <w:r>
        <w:rPr>
          <w:color w:val="1B1A18"/>
          <w:sz w:val="20"/>
          <w:szCs w:val="20"/>
        </w:rPr>
        <w:t xml:space="preserve">[Term / year]</w:t>
      </w:r>
    </w:p>
    <w:p>
      <w:pPr>
        <w:spacing w:after="110" w:line="276"/>
      </w:pPr>
      <w:r>
        <w:rPr>
          <w:i/>
          <w:iCs/>
          <w:color w:val="6E6A62"/>
          <w:sz w:val="20"/>
          <w:szCs w:val="20"/>
        </w:rPr>
        <w:t xml:space="preserve">The Crossing Map is the course’s signature team project (25% of the final grade). In teams of three to four, students choose a familiar end-to-end business process, make its invisible layer visible, and diagnose — using the six-property vocabulary — what would fail if AI agents replaced the human couriers at each crossing. The emphasis is on clarity of diagnosis and correct use of the framework, not on any proposed technical fix.</w:t>
      </w:r>
    </w:p>
    <w:p>
      <w:pPr>
        <w:pStyle w:val="Heading1"/>
        <w:spacing w:after="130" w:before="300"/>
      </w:pPr>
      <w:r>
        <w:rPr>
          <w:b/>
          <w:bCs/>
          <w:color w:val="33302B"/>
          <w:sz w:val="29"/>
          <w:szCs w:val="29"/>
        </w:rPr>
        <w:t xml:space="preserve">1 · Learning goals</w:t>
      </w:r>
    </w:p>
    <w:p>
      <w:pPr>
        <w:pStyle w:val="ListParagraph"/>
        <w:numPr>
          <w:ilvl w:val="0"/>
          <w:numId w:val="2"/>
        </w:numPr>
        <w:spacing w:after="60" w:line="268"/>
      </w:pPr>
      <w:r>
        <w:rPr>
          <w:b/>
          <w:bCs/>
          <w:color w:val="1B1A18"/>
          <w:sz w:val="20"/>
          <w:szCs w:val="20"/>
        </w:rPr>
        <w:t xml:space="preserve">See it — </w:t>
      </w:r>
      <w:r>
        <w:rPr>
          <w:color w:val="1B1A18"/>
          <w:sz w:val="20"/>
          <w:szCs w:val="20"/>
        </w:rPr>
        <w:t xml:space="preserve">Make the invisible layer of a real process visible, at the level of crossings.</w:t>
      </w:r>
    </w:p>
    <w:p>
      <w:pPr>
        <w:pStyle w:val="ListParagraph"/>
        <w:numPr>
          <w:ilvl w:val="0"/>
          <w:numId w:val="2"/>
        </w:numPr>
        <w:spacing w:after="60" w:line="268"/>
      </w:pPr>
      <w:r>
        <w:rPr>
          <w:b/>
          <w:bCs/>
          <w:color w:val="1B1A18"/>
          <w:sz w:val="20"/>
          <w:szCs w:val="20"/>
        </w:rPr>
        <w:t xml:space="preserve">Diagnose it — </w:t>
      </w:r>
      <w:r>
        <w:rPr>
          <w:color w:val="1B1A18"/>
          <w:sz w:val="20"/>
          <w:szCs w:val="20"/>
        </w:rPr>
        <w:t xml:space="preserve">Name, at each crossing, which of the six properties is at risk and what the characteristic failure would be.</w:t>
      </w:r>
    </w:p>
    <w:p>
      <w:pPr>
        <w:pStyle w:val="ListParagraph"/>
        <w:numPr>
          <w:ilvl w:val="0"/>
          <w:numId w:val="2"/>
        </w:numPr>
        <w:spacing w:after="60" w:line="268"/>
      </w:pPr>
      <w:r>
        <w:rPr>
          <w:b/>
          <w:bCs/>
          <w:color w:val="1B1A18"/>
          <w:sz w:val="20"/>
          <w:szCs w:val="20"/>
        </w:rPr>
        <w:t xml:space="preserve">Explain it — </w:t>
      </w:r>
      <w:r>
        <w:rPr>
          <w:color w:val="1B1A18"/>
          <w:sz w:val="20"/>
          <w:szCs w:val="20"/>
        </w:rPr>
        <w:t xml:space="preserve">Communicate the risk to a non-technical audience without jargon.</w:t>
      </w:r>
    </w:p>
    <w:p>
      <w:pPr>
        <w:pStyle w:val="Heading1"/>
        <w:spacing w:after="130" w:before="300"/>
      </w:pPr>
      <w:r>
        <w:rPr>
          <w:b/>
          <w:bCs/>
          <w:color w:val="33302B"/>
          <w:sz w:val="29"/>
          <w:szCs w:val="29"/>
        </w:rPr>
        <w:t xml:space="preserve">2 · What to choose</w:t>
      </w:r>
    </w:p>
    <w:p>
      <w:pPr>
        <w:spacing w:after="110" w:line="276"/>
      </w:pPr>
      <w:r>
        <w:rPr>
          <w:color w:val="1B1A18"/>
          <w:sz w:val="20"/>
          <w:szCs w:val="20"/>
        </w:rPr>
        <w:t xml:space="preserve">Pick a process you can describe end-to-end from real experience or public knowledge. Good examples: a university admissions decision, an online order-and-return, a hospital discharge, a loan approval, an expense reimbursement. Avoid processes so large you cannot trace a single piece of work across them.</w:t>
      </w:r>
    </w:p>
    <w:p>
      <w:pPr>
        <w:pStyle w:val="Heading1"/>
        <w:spacing w:after="130" w:before="300"/>
      </w:pPr>
      <w:r>
        <w:rPr>
          <w:b/>
          <w:bCs/>
          <w:color w:val="33302B"/>
          <w:sz w:val="29"/>
          <w:szCs w:val="29"/>
        </w:rPr>
        <w:t xml:space="preserve">3 · Milestones</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4200"/>
        <w:gridCol w:w="1400"/>
        <w:gridCol w:w="4480"/>
      </w:tblGrid>
      <w:tr>
        <w:trPr>
          <w:tblHeader/>
        </w:trPr>
        <w:tc>
          <w:tcPr>
            <w:tcW w:type="dxa" w:w="4200"/>
            <w:shd w:fill="33302B" w:color="auto" w:val="clear"/>
            <w:tcMar>
              <w:top w:type="dxa" w:w="55"/>
              <w:left w:type="dxa" w:w="90"/>
              <w:bottom w:type="dxa" w:w="55"/>
              <w:right w:type="dxa" w:w="90"/>
            </w:tcMar>
          </w:tcPr>
          <w:p>
            <w:pPr>
              <w:spacing w:after="0" w:line="250"/>
            </w:pPr>
            <w:r>
              <w:rPr>
                <w:b/>
                <w:bCs/>
                <w:color w:val="FFFFFF"/>
                <w:sz w:val="18"/>
                <w:szCs w:val="18"/>
              </w:rPr>
              <w:t xml:space="preserve">Milestone</w:t>
            </w:r>
          </w:p>
        </w:tc>
        <w:tc>
          <w:tcPr>
            <w:tcW w:type="dxa" w:w="1400"/>
            <w:shd w:fill="33302B" w:color="auto" w:val="clear"/>
            <w:tcMar>
              <w:top w:type="dxa" w:w="55"/>
              <w:left w:type="dxa" w:w="90"/>
              <w:bottom w:type="dxa" w:w="55"/>
              <w:right w:type="dxa" w:w="90"/>
            </w:tcMar>
          </w:tcPr>
          <w:p>
            <w:pPr>
              <w:spacing w:after="0" w:line="250"/>
            </w:pPr>
            <w:r>
              <w:rPr>
                <w:b/>
                <w:bCs/>
                <w:color w:val="FFFFFF"/>
                <w:sz w:val="18"/>
                <w:szCs w:val="18"/>
              </w:rPr>
              <w:t xml:space="preserve">Week</w:t>
            </w:r>
          </w:p>
        </w:tc>
        <w:tc>
          <w:tcPr>
            <w:tcW w:type="dxa" w:w="4480"/>
            <w:shd w:fill="33302B" w:color="auto" w:val="clear"/>
            <w:tcMar>
              <w:top w:type="dxa" w:w="55"/>
              <w:left w:type="dxa" w:w="90"/>
              <w:bottom w:type="dxa" w:w="55"/>
              <w:right w:type="dxa" w:w="90"/>
            </w:tcMar>
          </w:tcPr>
          <w:p>
            <w:pPr>
              <w:spacing w:after="0" w:line="250"/>
            </w:pPr>
            <w:r>
              <w:rPr>
                <w:b/>
                <w:bCs/>
                <w:color w:val="FFFFFF"/>
                <w:sz w:val="18"/>
                <w:szCs w:val="18"/>
              </w:rPr>
              <w:t xml:space="preserve">What is due</w:t>
            </w:r>
          </w:p>
        </w:tc>
      </w:tr>
      <w:tr>
        <w:tc>
          <w:tcPr>
            <w:tcW w:type="dxa" w:w="4200"/>
            <w:shd w:fill="FFFFFF" w:color="auto" w:val="clear"/>
            <w:tcMar>
              <w:top w:type="dxa" w:w="55"/>
              <w:left w:type="dxa" w:w="90"/>
              <w:bottom w:type="dxa" w:w="55"/>
              <w:right w:type="dxa" w:w="90"/>
            </w:tcMar>
          </w:tcPr>
          <w:p>
            <w:pPr>
              <w:spacing w:after="0" w:line="250"/>
            </w:pPr>
            <w:r>
              <w:rPr>
                <w:color w:val="1B1A18"/>
                <w:sz w:val="18"/>
                <w:szCs w:val="18"/>
              </w:rPr>
              <w:t xml:space="preserve">Teams &amp; process chosen</w:t>
            </w:r>
          </w:p>
        </w:tc>
        <w:tc>
          <w:tcPr>
            <w:tcW w:type="dxa" w:w="1400"/>
            <w:shd w:fill="FFFFFF" w:color="auto" w:val="clear"/>
            <w:tcMar>
              <w:top w:type="dxa" w:w="55"/>
              <w:left w:type="dxa" w:w="90"/>
              <w:bottom w:type="dxa" w:w="55"/>
              <w:right w:type="dxa" w:w="90"/>
            </w:tcMar>
          </w:tcPr>
          <w:p>
            <w:pPr>
              <w:spacing w:after="0" w:line="250"/>
            </w:pPr>
            <w:r>
              <w:rPr>
                <w:color w:val="1B1A18"/>
                <w:sz w:val="18"/>
                <w:szCs w:val="18"/>
              </w:rPr>
              <w:t xml:space="preserve">Week 7</w:t>
            </w:r>
          </w:p>
        </w:tc>
        <w:tc>
          <w:tcPr>
            <w:tcW w:type="dxa" w:w="4480"/>
            <w:shd w:fill="FFFFFF" w:color="auto" w:val="clear"/>
            <w:tcMar>
              <w:top w:type="dxa" w:w="55"/>
              <w:left w:type="dxa" w:w="90"/>
              <w:bottom w:type="dxa" w:w="55"/>
              <w:right w:type="dxa" w:w="90"/>
            </w:tcMar>
          </w:tcPr>
          <w:p>
            <w:pPr>
              <w:spacing w:after="0" w:line="250"/>
            </w:pPr>
            <w:r>
              <w:rPr>
                <w:color w:val="1B1A18"/>
                <w:sz w:val="18"/>
                <w:szCs w:val="18"/>
              </w:rPr>
              <w:t xml:space="preserve">Team roster and a one-line description of the chosen process</w:t>
            </w:r>
          </w:p>
        </w:tc>
      </w:tr>
      <w:tr>
        <w:tc>
          <w:tcPr>
            <w:tcW w:type="dxa" w:w="4200"/>
            <w:shd w:fill="F4F2EE" w:color="auto" w:val="clear"/>
            <w:tcMar>
              <w:top w:type="dxa" w:w="55"/>
              <w:left w:type="dxa" w:w="90"/>
              <w:bottom w:type="dxa" w:w="55"/>
              <w:right w:type="dxa" w:w="90"/>
            </w:tcMar>
          </w:tcPr>
          <w:p>
            <w:pPr>
              <w:spacing w:after="0" w:line="250"/>
            </w:pPr>
            <w:r>
              <w:rPr>
                <w:color w:val="1B1A18"/>
                <w:sz w:val="18"/>
                <w:szCs w:val="18"/>
              </w:rPr>
              <w:t xml:space="preserve">Check-in #1</w:t>
            </w:r>
          </w:p>
        </w:tc>
        <w:tc>
          <w:tcPr>
            <w:tcW w:type="dxa" w:w="1400"/>
            <w:shd w:fill="F4F2EE" w:color="auto" w:val="clear"/>
            <w:tcMar>
              <w:top w:type="dxa" w:w="55"/>
              <w:left w:type="dxa" w:w="90"/>
              <w:bottom w:type="dxa" w:w="55"/>
              <w:right w:type="dxa" w:w="90"/>
            </w:tcMar>
          </w:tcPr>
          <w:p>
            <w:pPr>
              <w:spacing w:after="0" w:line="250"/>
            </w:pPr>
            <w:r>
              <w:rPr>
                <w:color w:val="1B1A18"/>
                <w:sz w:val="18"/>
                <w:szCs w:val="18"/>
              </w:rPr>
              <w:t xml:space="preserve">Week 10</w:t>
            </w:r>
          </w:p>
        </w:tc>
        <w:tc>
          <w:tcPr>
            <w:tcW w:type="dxa" w:w="4480"/>
            <w:shd w:fill="F4F2EE" w:color="auto" w:val="clear"/>
            <w:tcMar>
              <w:top w:type="dxa" w:w="55"/>
              <w:left w:type="dxa" w:w="90"/>
              <w:bottom w:type="dxa" w:w="55"/>
              <w:right w:type="dxa" w:w="90"/>
            </w:tcMar>
          </w:tcPr>
          <w:p>
            <w:pPr>
              <w:spacing w:after="0" w:line="250"/>
            </w:pPr>
            <w:r>
              <w:rPr>
                <w:color w:val="1B1A18"/>
                <w:sz w:val="18"/>
                <w:szCs w:val="18"/>
              </w:rPr>
              <w:t xml:space="preserve">Draft crossing map (systems, arrows, and the invisible layer marked)</w:t>
            </w:r>
          </w:p>
        </w:tc>
      </w:tr>
      <w:tr>
        <w:tc>
          <w:tcPr>
            <w:tcW w:type="dxa" w:w="4200"/>
            <w:shd w:fill="FFFFFF" w:color="auto" w:val="clear"/>
            <w:tcMar>
              <w:top w:type="dxa" w:w="55"/>
              <w:left w:type="dxa" w:w="90"/>
              <w:bottom w:type="dxa" w:w="55"/>
              <w:right w:type="dxa" w:w="90"/>
            </w:tcMar>
          </w:tcPr>
          <w:p>
            <w:pPr>
              <w:spacing w:after="0" w:line="250"/>
            </w:pPr>
            <w:r>
              <w:rPr>
                <w:color w:val="1B1A18"/>
                <w:sz w:val="18"/>
                <w:szCs w:val="18"/>
              </w:rPr>
              <w:t xml:space="preserve">Check-in #2</w:t>
            </w:r>
          </w:p>
        </w:tc>
        <w:tc>
          <w:tcPr>
            <w:tcW w:type="dxa" w:w="1400"/>
            <w:shd w:fill="FFFFFF" w:color="auto" w:val="clear"/>
            <w:tcMar>
              <w:top w:type="dxa" w:w="55"/>
              <w:left w:type="dxa" w:w="90"/>
              <w:bottom w:type="dxa" w:w="55"/>
              <w:right w:type="dxa" w:w="90"/>
            </w:tcMar>
          </w:tcPr>
          <w:p>
            <w:pPr>
              <w:spacing w:after="0" w:line="250"/>
            </w:pPr>
            <w:r>
              <w:rPr>
                <w:color w:val="1B1A18"/>
                <w:sz w:val="18"/>
                <w:szCs w:val="18"/>
              </w:rPr>
              <w:t xml:space="preserve">Week 12</w:t>
            </w:r>
          </w:p>
        </w:tc>
        <w:tc>
          <w:tcPr>
            <w:tcW w:type="dxa" w:w="4480"/>
            <w:shd w:fill="FFFFFF" w:color="auto" w:val="clear"/>
            <w:tcMar>
              <w:top w:type="dxa" w:w="55"/>
              <w:left w:type="dxa" w:w="90"/>
              <w:bottom w:type="dxa" w:w="55"/>
              <w:right w:type="dxa" w:w="90"/>
            </w:tcMar>
          </w:tcPr>
          <w:p>
            <w:pPr>
              <w:spacing w:after="0" w:line="250"/>
            </w:pPr>
            <w:r>
              <w:rPr>
                <w:color w:val="1B1A18"/>
                <w:sz w:val="18"/>
                <w:szCs w:val="18"/>
              </w:rPr>
              <w:t xml:space="preserve">Three crossings selected; property-at-risk analysis drafted</w:t>
            </w:r>
          </w:p>
        </w:tc>
      </w:tr>
      <w:tr>
        <w:tc>
          <w:tcPr>
            <w:tcW w:type="dxa" w:w="4200"/>
            <w:shd w:fill="F4F2EE" w:color="auto" w:val="clear"/>
            <w:tcMar>
              <w:top w:type="dxa" w:w="55"/>
              <w:left w:type="dxa" w:w="90"/>
              <w:bottom w:type="dxa" w:w="55"/>
              <w:right w:type="dxa" w:w="90"/>
            </w:tcMar>
          </w:tcPr>
          <w:p>
            <w:pPr>
              <w:spacing w:after="0" w:line="250"/>
            </w:pPr>
            <w:r>
              <w:rPr>
                <w:color w:val="1B1A18"/>
                <w:sz w:val="18"/>
                <w:szCs w:val="18"/>
              </w:rPr>
              <w:t xml:space="preserve">Final submission</w:t>
            </w:r>
          </w:p>
        </w:tc>
        <w:tc>
          <w:tcPr>
            <w:tcW w:type="dxa" w:w="1400"/>
            <w:shd w:fill="F4F2EE" w:color="auto" w:val="clear"/>
            <w:tcMar>
              <w:top w:type="dxa" w:w="55"/>
              <w:left w:type="dxa" w:w="90"/>
              <w:bottom w:type="dxa" w:w="55"/>
              <w:right w:type="dxa" w:w="90"/>
            </w:tcMar>
          </w:tcPr>
          <w:p>
            <w:pPr>
              <w:spacing w:after="0" w:line="250"/>
            </w:pPr>
            <w:r>
              <w:rPr>
                <w:color w:val="1B1A18"/>
                <w:sz w:val="18"/>
                <w:szCs w:val="18"/>
              </w:rPr>
              <w:t xml:space="preserve">Week 14</w:t>
            </w:r>
          </w:p>
        </w:tc>
        <w:tc>
          <w:tcPr>
            <w:tcW w:type="dxa" w:w="4480"/>
            <w:shd w:fill="F4F2EE" w:color="auto" w:val="clear"/>
            <w:tcMar>
              <w:top w:type="dxa" w:w="55"/>
              <w:left w:type="dxa" w:w="90"/>
              <w:bottom w:type="dxa" w:w="55"/>
              <w:right w:type="dxa" w:w="90"/>
            </w:tcMar>
          </w:tcPr>
          <w:p>
            <w:pPr>
              <w:spacing w:after="0" w:line="250"/>
            </w:pPr>
            <w:r>
              <w:rPr>
                <w:color w:val="1B1A18"/>
                <w:sz w:val="18"/>
                <w:szCs w:val="18"/>
              </w:rPr>
              <w:t xml:space="preserve">Crossing map + 1,500-word report + 10-minute presentation</w:t>
            </w:r>
          </w:p>
        </w:tc>
      </w:tr>
    </w:tbl>
    <w:p>
      <w:pPr>
        <w:pStyle w:val="Heading1"/>
        <w:spacing w:after="130" w:before="300"/>
      </w:pPr>
      <w:r>
        <w:rPr>
          <w:b/>
          <w:bCs/>
          <w:color w:val="33302B"/>
          <w:sz w:val="29"/>
          <w:szCs w:val="29"/>
        </w:rPr>
        <w:t xml:space="preserve">4 · Deliverables</w:t>
      </w:r>
    </w:p>
    <w:p>
      <w:pPr>
        <w:pStyle w:val="Heading2"/>
        <w:spacing w:after="90" w:before="220"/>
      </w:pPr>
      <w:r>
        <w:rPr>
          <w:b/>
          <w:bCs/>
          <w:color w:val="1B1A18"/>
          <w:sz w:val="23"/>
          <w:szCs w:val="23"/>
        </w:rPr>
        <w:t xml:space="preserve">4.1 The crossing map</w:t>
      </w:r>
    </w:p>
    <w:p>
      <w:pPr>
        <w:spacing w:after="110" w:line="276"/>
      </w:pPr>
      <w:r>
        <w:rPr>
          <w:color w:val="1B1A18"/>
          <w:sz w:val="20"/>
          <w:szCs w:val="20"/>
        </w:rPr>
        <w:t xml:space="preserve">A single annotated diagram: boxes for systems, arrows for integrations, and — clearly distinguished — the invisible layer at each arrow where a human currently carries meaning, authority, or memory. Highlight the three crossings your report analyses.</w:t>
      </w:r>
    </w:p>
    <w:p>
      <w:pPr>
        <w:pStyle w:val="Heading2"/>
        <w:spacing w:after="90" w:before="220"/>
      </w:pPr>
      <w:r>
        <w:rPr>
          <w:b/>
          <w:bCs/>
          <w:color w:val="1B1A18"/>
          <w:sz w:val="23"/>
          <w:szCs w:val="23"/>
        </w:rPr>
        <w:t xml:space="preserve">4.2 The report (1,500 words)</w:t>
      </w:r>
    </w:p>
    <w:p>
      <w:pPr>
        <w:spacing w:after="110" w:line="276"/>
      </w:pPr>
      <w:r>
        <w:rPr>
          <w:color w:val="1B1A18"/>
          <w:sz w:val="20"/>
          <w:szCs w:val="20"/>
        </w:rPr>
        <w:t xml:space="preserve">For each of three chosen crossings: describe the work that crosses; state which of the six properties is at risk; describe the characteristic failure that would occur if an AI agent replaced the human courier; and note one ‘test’ you would apply to check whether the property is in custody. Close with a short reflection on which crossing worries you most and why.</w:t>
      </w:r>
    </w:p>
    <w:p>
      <w:pPr>
        <w:pStyle w:val="Heading2"/>
        <w:spacing w:after="90" w:before="220"/>
      </w:pPr>
      <w:r>
        <w:rPr>
          <w:b/>
          <w:bCs/>
          <w:color w:val="1B1A18"/>
          <w:sz w:val="23"/>
          <w:szCs w:val="23"/>
        </w:rPr>
        <w:t xml:space="preserve">4.3 The presentation (10 minutes)</w:t>
      </w:r>
    </w:p>
    <w:p>
      <w:pPr>
        <w:spacing w:after="110" w:line="276"/>
      </w:pPr>
      <w:r>
        <w:rPr>
          <w:color w:val="1B1A18"/>
          <w:sz w:val="20"/>
          <w:szCs w:val="20"/>
        </w:rPr>
        <w:t xml:space="preserve">Aimed at non-technical stakeholders (imagine a department head with no architecture background). Use the crossing map as your central visual. Every team member speaks. Two minutes of questions follow.</w:t>
      </w:r>
    </w:p>
    <w:p>
      <w:pPr>
        <w:pStyle w:val="Heading1"/>
        <w:spacing w:after="130" w:before="300"/>
      </w:pPr>
      <w:r>
        <w:rPr>
          <w:b/>
          <w:bCs/>
          <w:color w:val="33302B"/>
          <w:sz w:val="29"/>
          <w:szCs w:val="29"/>
        </w:rPr>
        <w:t xml:space="preserve">5 · Templates</w:t>
      </w:r>
    </w:p>
    <w:p>
      <w:pPr>
        <w:pStyle w:val="Heading2"/>
        <w:spacing w:after="90" w:before="220"/>
      </w:pPr>
      <w:r>
        <w:rPr>
          <w:b/>
          <w:bCs/>
          <w:color w:val="1B1A18"/>
          <w:sz w:val="23"/>
          <w:szCs w:val="23"/>
        </w:rPr>
        <w:t xml:space="preserve">5.1 Crossing analysis template (complete once per chosen crossing)</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4000"/>
        <w:gridCol w:w="6080"/>
      </w:tblGrid>
      <w:tr>
        <w:trPr>
          <w:tblHeader/>
        </w:trPr>
        <w:tc>
          <w:tcPr>
            <w:tcW w:type="dxa" w:w="4000"/>
            <w:shd w:fill="33302B" w:color="auto" w:val="clear"/>
            <w:tcMar>
              <w:top w:type="dxa" w:w="55"/>
              <w:left w:type="dxa" w:w="90"/>
              <w:bottom w:type="dxa" w:w="55"/>
              <w:right w:type="dxa" w:w="90"/>
            </w:tcMar>
          </w:tcPr>
          <w:p>
            <w:pPr>
              <w:spacing w:after="0" w:line="250"/>
            </w:pPr>
            <w:r>
              <w:rPr>
                <w:b/>
                <w:bCs/>
                <w:color w:val="FFFFFF"/>
                <w:sz w:val="18"/>
                <w:szCs w:val="18"/>
              </w:rPr>
              <w:t xml:space="preserve">Field</w:t>
            </w:r>
          </w:p>
        </w:tc>
        <w:tc>
          <w:tcPr>
            <w:tcW w:type="dxa" w:w="6080"/>
            <w:shd w:fill="33302B" w:color="auto" w:val="clear"/>
            <w:tcMar>
              <w:top w:type="dxa" w:w="55"/>
              <w:left w:type="dxa" w:w="90"/>
              <w:bottom w:type="dxa" w:w="55"/>
              <w:right w:type="dxa" w:w="90"/>
            </w:tcMar>
          </w:tcPr>
          <w:p>
            <w:pPr>
              <w:spacing w:after="0" w:line="250"/>
            </w:pPr>
            <w:r>
              <w:rPr>
                <w:b/>
                <w:bCs/>
                <w:color w:val="FFFFFF"/>
                <w:sz w:val="18"/>
                <w:szCs w:val="18"/>
              </w:rPr>
              <w:t xml:space="preserve">Your entry</w:t>
            </w:r>
          </w:p>
        </w:tc>
      </w:tr>
      <w:tr>
        <w:tc>
          <w:tcPr>
            <w:tcW w:type="dxa" w:w="4000"/>
            <w:shd w:fill="FFFFFF" w:color="auto" w:val="clear"/>
            <w:tcMar>
              <w:top w:type="dxa" w:w="55"/>
              <w:left w:type="dxa" w:w="90"/>
              <w:bottom w:type="dxa" w:w="55"/>
              <w:right w:type="dxa" w:w="90"/>
            </w:tcMar>
          </w:tcPr>
          <w:p>
            <w:pPr>
              <w:spacing w:after="0" w:line="250"/>
            </w:pPr>
            <w:r>
              <w:rPr>
                <w:color w:val="1B1A18"/>
                <w:sz w:val="18"/>
                <w:szCs w:val="18"/>
              </w:rPr>
              <w:t xml:space="preserve">Crossing (from → to)</w:t>
            </w:r>
          </w:p>
        </w:tc>
        <w:tc>
          <w:tcPr>
            <w:tcW w:type="dxa" w:w="6080"/>
            <w:shd w:fill="FFFFFF" w:color="auto" w:val="clear"/>
            <w:tcMar>
              <w:top w:type="dxa" w:w="55"/>
              <w:left w:type="dxa" w:w="90"/>
              <w:bottom w:type="dxa" w:w="55"/>
              <w:right w:type="dxa" w:w="90"/>
            </w:tcMar>
          </w:tcPr>
          <w:p>
            <w:pPr>
              <w:spacing w:after="0" w:line="250"/>
            </w:pPr>
            <w:r>
              <w:rPr>
                <w:color w:val="1B1A18"/>
                <w:sz w:val="18"/>
                <w:szCs w:val="18"/>
              </w:rPr>
              <w:t xml:space="preserve">[e.g. planning system → procurement system]</w:t>
            </w:r>
          </w:p>
        </w:tc>
      </w:tr>
      <w:tr>
        <w:tc>
          <w:tcPr>
            <w:tcW w:type="dxa" w:w="4000"/>
            <w:shd w:fill="F4F2EE" w:color="auto" w:val="clear"/>
            <w:tcMar>
              <w:top w:type="dxa" w:w="55"/>
              <w:left w:type="dxa" w:w="90"/>
              <w:bottom w:type="dxa" w:w="55"/>
              <w:right w:type="dxa" w:w="90"/>
            </w:tcMar>
          </w:tcPr>
          <w:p>
            <w:pPr>
              <w:spacing w:after="0" w:line="250"/>
            </w:pPr>
            <w:r>
              <w:rPr>
                <w:color w:val="1B1A18"/>
                <w:sz w:val="18"/>
                <w:szCs w:val="18"/>
              </w:rPr>
              <w:t xml:space="preserve">Work that crosses</w:t>
            </w:r>
          </w:p>
        </w:tc>
        <w:tc>
          <w:tcPr>
            <w:tcW w:type="dxa" w:w="6080"/>
            <w:shd w:fill="F4F2EE" w:color="auto" w:val="clear"/>
            <w:tcMar>
              <w:top w:type="dxa" w:w="55"/>
              <w:left w:type="dxa" w:w="90"/>
              <w:bottom w:type="dxa" w:w="55"/>
              <w:right w:type="dxa" w:w="90"/>
            </w:tcMar>
          </w:tcPr>
          <w:p>
            <w:pPr>
              <w:spacing w:after="0" w:line="250"/>
            </w:pPr>
            <w:r>
              <w:rPr>
                <w:color w:val="1B1A18"/>
                <w:sz w:val="18"/>
                <w:szCs w:val="18"/>
              </w:rPr>
              <w:t xml:space="preserve">[the piece of work / the payload]</w:t>
            </w:r>
          </w:p>
        </w:tc>
      </w:tr>
      <w:tr>
        <w:tc>
          <w:tcPr>
            <w:tcW w:type="dxa" w:w="4000"/>
            <w:shd w:fill="FFFFFF" w:color="auto" w:val="clear"/>
            <w:tcMar>
              <w:top w:type="dxa" w:w="55"/>
              <w:left w:type="dxa" w:w="90"/>
              <w:bottom w:type="dxa" w:w="55"/>
              <w:right w:type="dxa" w:w="90"/>
            </w:tcMar>
          </w:tcPr>
          <w:p>
            <w:pPr>
              <w:spacing w:after="0" w:line="250"/>
            </w:pPr>
            <w:r>
              <w:rPr>
                <w:color w:val="1B1A18"/>
                <w:sz w:val="18"/>
                <w:szCs w:val="18"/>
              </w:rPr>
              <w:t xml:space="preserve">What the human currently carries</w:t>
            </w:r>
          </w:p>
        </w:tc>
        <w:tc>
          <w:tcPr>
            <w:tcW w:type="dxa" w:w="6080"/>
            <w:shd w:fill="FFFFFF" w:color="auto" w:val="clear"/>
            <w:tcMar>
              <w:top w:type="dxa" w:w="55"/>
              <w:left w:type="dxa" w:w="90"/>
              <w:bottom w:type="dxa" w:w="55"/>
              <w:right w:type="dxa" w:w="90"/>
            </w:tcMar>
          </w:tcPr>
          <w:p>
            <w:pPr>
              <w:spacing w:after="0" w:line="250"/>
            </w:pPr>
            <w:r>
              <w:rPr>
                <w:color w:val="1B1A18"/>
                <w:sz w:val="18"/>
                <w:szCs w:val="18"/>
              </w:rPr>
              <w:t xml:space="preserve">[the meaning / permission / memory]</w:t>
            </w:r>
          </w:p>
        </w:tc>
      </w:tr>
      <w:tr>
        <w:tc>
          <w:tcPr>
            <w:tcW w:type="dxa" w:w="4000"/>
            <w:shd w:fill="F4F2EE" w:color="auto" w:val="clear"/>
            <w:tcMar>
              <w:top w:type="dxa" w:w="55"/>
              <w:left w:type="dxa" w:w="90"/>
              <w:bottom w:type="dxa" w:w="55"/>
              <w:right w:type="dxa" w:w="90"/>
            </w:tcMar>
          </w:tcPr>
          <w:p>
            <w:pPr>
              <w:spacing w:after="0" w:line="250"/>
            </w:pPr>
            <w:r>
              <w:rPr>
                <w:color w:val="1B1A18"/>
                <w:sz w:val="18"/>
                <w:szCs w:val="18"/>
              </w:rPr>
              <w:t xml:space="preserve">Property at risk (of the six)</w:t>
            </w:r>
          </w:p>
        </w:tc>
        <w:tc>
          <w:tcPr>
            <w:tcW w:type="dxa" w:w="6080"/>
            <w:shd w:fill="F4F2EE" w:color="auto" w:val="clear"/>
            <w:tcMar>
              <w:top w:type="dxa" w:w="55"/>
              <w:left w:type="dxa" w:w="90"/>
              <w:bottom w:type="dxa" w:w="55"/>
              <w:right w:type="dxa" w:w="90"/>
            </w:tcMar>
          </w:tcPr>
          <w:p>
            <w:pPr>
              <w:spacing w:after="0" w:line="250"/>
            </w:pPr>
            <w:r>
              <w:rPr>
                <w:color w:val="1B1A18"/>
                <w:sz w:val="18"/>
                <w:szCs w:val="18"/>
              </w:rPr>
              <w:t xml:space="preserve">[context / authority / accountability / coordination / coherence / memory]</w:t>
            </w:r>
          </w:p>
        </w:tc>
      </w:tr>
      <w:tr>
        <w:tc>
          <w:tcPr>
            <w:tcW w:type="dxa" w:w="4000"/>
            <w:shd w:fill="FFFFFF" w:color="auto" w:val="clear"/>
            <w:tcMar>
              <w:top w:type="dxa" w:w="55"/>
              <w:left w:type="dxa" w:w="90"/>
              <w:bottom w:type="dxa" w:w="55"/>
              <w:right w:type="dxa" w:w="90"/>
            </w:tcMar>
          </w:tcPr>
          <w:p>
            <w:pPr>
              <w:spacing w:after="0" w:line="250"/>
            </w:pPr>
            <w:r>
              <w:rPr>
                <w:color w:val="1B1A18"/>
                <w:sz w:val="18"/>
                <w:szCs w:val="18"/>
              </w:rPr>
              <w:t xml:space="preserve">Characteristic failure if automated</w:t>
            </w:r>
          </w:p>
        </w:tc>
        <w:tc>
          <w:tcPr>
            <w:tcW w:type="dxa" w:w="6080"/>
            <w:shd w:fill="FFFFFF" w:color="auto" w:val="clear"/>
            <w:tcMar>
              <w:top w:type="dxa" w:w="55"/>
              <w:left w:type="dxa" w:w="90"/>
              <w:bottom w:type="dxa" w:w="55"/>
              <w:right w:type="dxa" w:w="90"/>
            </w:tcMar>
          </w:tcPr>
          <w:p>
            <w:pPr>
              <w:spacing w:after="0" w:line="250"/>
            </w:pPr>
            <w:r>
              <w:rPr>
                <w:color w:val="1B1A18"/>
                <w:sz w:val="18"/>
                <w:szCs w:val="18"/>
              </w:rPr>
              <w:t xml:space="preserve">[what goes wrong, and how it would look]</w:t>
            </w:r>
          </w:p>
        </w:tc>
      </w:tr>
      <w:tr>
        <w:tc>
          <w:tcPr>
            <w:tcW w:type="dxa" w:w="4000"/>
            <w:shd w:fill="F4F2EE" w:color="auto" w:val="clear"/>
            <w:tcMar>
              <w:top w:type="dxa" w:w="55"/>
              <w:left w:type="dxa" w:w="90"/>
              <w:bottom w:type="dxa" w:w="55"/>
              <w:right w:type="dxa" w:w="90"/>
            </w:tcMar>
          </w:tcPr>
          <w:p>
            <w:pPr>
              <w:spacing w:after="0" w:line="250"/>
            </w:pPr>
            <w:r>
              <w:rPr>
                <w:color w:val="1B1A18"/>
                <w:sz w:val="18"/>
                <w:szCs w:val="18"/>
              </w:rPr>
              <w:t xml:space="preserve">Test you would apply</w:t>
            </w:r>
          </w:p>
        </w:tc>
        <w:tc>
          <w:tcPr>
            <w:tcW w:type="dxa" w:w="6080"/>
            <w:shd w:fill="F4F2EE" w:color="auto" w:val="clear"/>
            <w:tcMar>
              <w:top w:type="dxa" w:w="55"/>
              <w:left w:type="dxa" w:w="90"/>
              <w:bottom w:type="dxa" w:w="55"/>
              <w:right w:type="dxa" w:w="90"/>
            </w:tcMar>
          </w:tcPr>
          <w:p>
            <w:pPr>
              <w:spacing w:after="0" w:line="250"/>
            </w:pPr>
            <w:r>
              <w:rPr>
                <w:color w:val="1B1A18"/>
                <w:sz w:val="18"/>
                <w:szCs w:val="18"/>
              </w:rPr>
              <w:t xml:space="preserve">[the question you would ask to check custody]</w:t>
            </w:r>
          </w:p>
        </w:tc>
      </w:tr>
    </w:tbl>
    <w:p>
      <w:pPr>
        <w:pStyle w:val="Heading2"/>
        <w:spacing w:after="90" w:before="220"/>
      </w:pPr>
      <w:r>
        <w:rPr>
          <w:b/>
          <w:bCs/>
          <w:color w:val="1B1A18"/>
          <w:sz w:val="23"/>
          <w:szCs w:val="23"/>
        </w:rPr>
        <w:t xml:space="preserve">5.2 Report structure</w:t>
      </w:r>
    </w:p>
    <w:p>
      <w:pPr>
        <w:pStyle w:val="ListParagraph"/>
        <w:numPr>
          <w:ilvl w:val="0"/>
          <w:numId w:val="3"/>
        </w:numPr>
        <w:spacing w:after="70" w:line="268"/>
      </w:pPr>
      <w:r>
        <w:rPr>
          <w:color w:val="1B1A18"/>
          <w:sz w:val="20"/>
          <w:szCs w:val="20"/>
        </w:rPr>
        <w:t xml:space="preserve">Introduction: the process and why you chose it (≈150 words).</w:t>
      </w:r>
    </w:p>
    <w:p>
      <w:pPr>
        <w:pStyle w:val="ListParagraph"/>
        <w:numPr>
          <w:ilvl w:val="0"/>
          <w:numId w:val="3"/>
        </w:numPr>
        <w:spacing w:after="70" w:line="268"/>
      </w:pPr>
      <w:r>
        <w:rPr>
          <w:color w:val="1B1A18"/>
          <w:sz w:val="20"/>
          <w:szCs w:val="20"/>
        </w:rPr>
        <w:t xml:space="preserve">The crossing map: one paragraph orienting the reader (≈150 words).</w:t>
      </w:r>
    </w:p>
    <w:p>
      <w:pPr>
        <w:pStyle w:val="ListParagraph"/>
        <w:numPr>
          <w:ilvl w:val="0"/>
          <w:numId w:val="3"/>
        </w:numPr>
        <w:spacing w:after="70" w:line="268"/>
      </w:pPr>
      <w:r>
        <w:rPr>
          <w:color w:val="1B1A18"/>
          <w:sz w:val="20"/>
          <w:szCs w:val="20"/>
        </w:rPr>
        <w:t xml:space="preserve">Three crossings analysed (≈350 words each = ≈1,050).</w:t>
      </w:r>
    </w:p>
    <w:p>
      <w:pPr>
        <w:pStyle w:val="ListParagraph"/>
        <w:numPr>
          <w:ilvl w:val="0"/>
          <w:numId w:val="3"/>
        </w:numPr>
        <w:spacing w:after="70" w:line="268"/>
      </w:pPr>
      <w:r>
        <w:rPr>
          <w:color w:val="1B1A18"/>
          <w:sz w:val="20"/>
          <w:szCs w:val="20"/>
        </w:rPr>
        <w:t xml:space="preserve">Reflection: the crossing that worries you most (≈150 words).</w:t>
      </w:r>
    </w:p>
    <w:p>
      <w:pPr>
        <w:pStyle w:val="Heading2"/>
        <w:spacing w:after="90" w:before="220"/>
      </w:pPr>
      <w:r>
        <w:rPr>
          <w:b/>
          <w:bCs/>
          <w:color w:val="1B1A18"/>
          <w:sz w:val="23"/>
          <w:szCs w:val="23"/>
        </w:rPr>
        <w:t xml:space="preserve">5.3 Presentation outline</w:t>
      </w:r>
    </w:p>
    <w:p>
      <w:pPr>
        <w:pStyle w:val="ListParagraph"/>
        <w:numPr>
          <w:ilvl w:val="0"/>
          <w:numId w:val="2"/>
        </w:numPr>
        <w:spacing w:after="60" w:line="268"/>
      </w:pPr>
      <w:r>
        <w:rPr>
          <w:color w:val="1B1A18"/>
          <w:sz w:val="20"/>
          <w:szCs w:val="20"/>
        </w:rPr>
        <w:t xml:space="preserve">Slide 1 — the process in one sentence and why it matters.</w:t>
      </w:r>
    </w:p>
    <w:p>
      <w:pPr>
        <w:pStyle w:val="ListParagraph"/>
        <w:numPr>
          <w:ilvl w:val="0"/>
          <w:numId w:val="2"/>
        </w:numPr>
        <w:spacing w:after="60" w:line="268"/>
      </w:pPr>
      <w:r>
        <w:rPr>
          <w:color w:val="1B1A18"/>
          <w:sz w:val="20"/>
          <w:szCs w:val="20"/>
        </w:rPr>
        <w:t xml:space="preserve">Slide 2 — the crossing map (your central visual).</w:t>
      </w:r>
    </w:p>
    <w:p>
      <w:pPr>
        <w:pStyle w:val="ListParagraph"/>
        <w:numPr>
          <w:ilvl w:val="0"/>
          <w:numId w:val="2"/>
        </w:numPr>
        <w:spacing w:after="60" w:line="268"/>
      </w:pPr>
      <w:r>
        <w:rPr>
          <w:color w:val="1B1A18"/>
          <w:sz w:val="20"/>
          <w:szCs w:val="20"/>
        </w:rPr>
        <w:t xml:space="preserve">Slides 3–5 — one crossing each: what’s carried, what fails, one test.</w:t>
      </w:r>
    </w:p>
    <w:p>
      <w:pPr>
        <w:pStyle w:val="ListParagraph"/>
        <w:numPr>
          <w:ilvl w:val="0"/>
          <w:numId w:val="2"/>
        </w:numPr>
        <w:spacing w:after="60" w:line="268"/>
      </w:pPr>
      <w:r>
        <w:rPr>
          <w:color w:val="1B1A18"/>
          <w:sz w:val="20"/>
          <w:szCs w:val="20"/>
        </w:rPr>
        <w:t xml:space="preserve">Slide 6 — the crossing that worries you most, and your one-line recommendation.</w:t>
      </w:r>
    </w:p>
    <w:p>
      <w:pPr>
        <w:pStyle w:val="Heading1"/>
        <w:spacing w:after="130" w:before="300"/>
      </w:pPr>
      <w:r>
        <w:rPr>
          <w:b/>
          <w:bCs/>
          <w:color w:val="33302B"/>
          <w:sz w:val="29"/>
          <w:szCs w:val="29"/>
        </w:rPr>
        <w:t xml:space="preserve">6 · Grading rubric (100 points → 25% of grade)</w:t>
      </w: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3000"/>
        <w:gridCol w:w="2900"/>
        <w:gridCol w:w="2100"/>
        <w:gridCol w:w="1400"/>
        <w:gridCol w:w="680"/>
      </w:tblGrid>
      <w:tr>
        <w:trPr>
          <w:tblHeader/>
        </w:trPr>
        <w:tc>
          <w:tcPr>
            <w:tcW w:type="dxa" w:w="3000"/>
            <w:shd w:fill="33302B" w:color="auto" w:val="clear"/>
            <w:tcMar>
              <w:top w:type="dxa" w:w="55"/>
              <w:left w:type="dxa" w:w="90"/>
              <w:bottom w:type="dxa" w:w="55"/>
              <w:right w:type="dxa" w:w="90"/>
            </w:tcMar>
          </w:tcPr>
          <w:p>
            <w:pPr>
              <w:spacing w:after="0" w:line="250"/>
            </w:pPr>
            <w:r>
              <w:rPr>
                <w:b/>
                <w:bCs/>
                <w:color w:val="FFFFFF"/>
                <w:sz w:val="18"/>
                <w:szCs w:val="18"/>
              </w:rPr>
              <w:t xml:space="preserve">Criterion</w:t>
            </w:r>
          </w:p>
        </w:tc>
        <w:tc>
          <w:tcPr>
            <w:tcW w:type="dxa" w:w="2900"/>
            <w:shd w:fill="33302B" w:color="auto" w:val="clear"/>
            <w:tcMar>
              <w:top w:type="dxa" w:w="55"/>
              <w:left w:type="dxa" w:w="90"/>
              <w:bottom w:type="dxa" w:w="55"/>
              <w:right w:type="dxa" w:w="90"/>
            </w:tcMar>
          </w:tcPr>
          <w:p>
            <w:pPr>
              <w:spacing w:after="0" w:line="250"/>
            </w:pPr>
            <w:r>
              <w:rPr>
                <w:b/>
                <w:bCs/>
                <w:color w:val="FFFFFF"/>
                <w:sz w:val="18"/>
                <w:szCs w:val="18"/>
              </w:rPr>
              <w:t xml:space="preserve">Excellent</w:t>
            </w:r>
          </w:p>
        </w:tc>
        <w:tc>
          <w:tcPr>
            <w:tcW w:type="dxa" w:w="2100"/>
            <w:shd w:fill="33302B" w:color="auto" w:val="clear"/>
            <w:tcMar>
              <w:top w:type="dxa" w:w="55"/>
              <w:left w:type="dxa" w:w="90"/>
              <w:bottom w:type="dxa" w:w="55"/>
              <w:right w:type="dxa" w:w="90"/>
            </w:tcMar>
          </w:tcPr>
          <w:p>
            <w:pPr>
              <w:spacing w:after="0" w:line="250"/>
            </w:pPr>
            <w:r>
              <w:rPr>
                <w:b/>
                <w:bCs/>
                <w:color w:val="FFFFFF"/>
                <w:sz w:val="18"/>
                <w:szCs w:val="18"/>
              </w:rPr>
              <w:t xml:space="preserve">Adequate</w:t>
            </w:r>
          </w:p>
        </w:tc>
        <w:tc>
          <w:tcPr>
            <w:tcW w:type="dxa" w:w="1400"/>
            <w:shd w:fill="33302B" w:color="auto" w:val="clear"/>
            <w:tcMar>
              <w:top w:type="dxa" w:w="55"/>
              <w:left w:type="dxa" w:w="90"/>
              <w:bottom w:type="dxa" w:w="55"/>
              <w:right w:type="dxa" w:w="90"/>
            </w:tcMar>
          </w:tcPr>
          <w:p>
            <w:pPr>
              <w:spacing w:after="0" w:line="250"/>
            </w:pPr>
            <w:r>
              <w:rPr>
                <w:b/>
                <w:bCs/>
                <w:color w:val="FFFFFF"/>
                <w:sz w:val="18"/>
                <w:szCs w:val="18"/>
              </w:rPr>
              <w:t xml:space="preserve">Weak</w:t>
            </w:r>
          </w:p>
        </w:tc>
        <w:tc>
          <w:tcPr>
            <w:tcW w:type="dxa" w:w="680"/>
            <w:shd w:fill="33302B" w:color="auto" w:val="clear"/>
            <w:tcMar>
              <w:top w:type="dxa" w:w="55"/>
              <w:left w:type="dxa" w:w="90"/>
              <w:bottom w:type="dxa" w:w="55"/>
              <w:right w:type="dxa" w:w="90"/>
            </w:tcMar>
          </w:tcPr>
          <w:p>
            <w:pPr>
              <w:spacing w:after="0" w:line="250"/>
            </w:pPr>
            <w:r>
              <w:rPr>
                <w:b/>
                <w:bCs/>
                <w:color w:val="FFFFFF"/>
                <w:sz w:val="18"/>
                <w:szCs w:val="18"/>
              </w:rPr>
              <w:t xml:space="preserve">Pts</w:t>
            </w:r>
          </w:p>
        </w:tc>
      </w:tr>
      <w:tr>
        <w:tc>
          <w:tcPr>
            <w:tcW w:type="dxa" w:w="3000"/>
            <w:shd w:fill="FFFFFF" w:color="auto" w:val="clear"/>
            <w:tcMar>
              <w:top w:type="dxa" w:w="55"/>
              <w:left w:type="dxa" w:w="90"/>
              <w:bottom w:type="dxa" w:w="55"/>
              <w:right w:type="dxa" w:w="90"/>
            </w:tcMar>
          </w:tcPr>
          <w:p>
            <w:pPr>
              <w:spacing w:after="0" w:line="250"/>
            </w:pPr>
            <w:r>
              <w:rPr>
                <w:color w:val="1B1A18"/>
                <w:sz w:val="18"/>
                <w:szCs w:val="18"/>
              </w:rPr>
              <w:t xml:space="preserve">Crossing map quality</w:t>
            </w:r>
          </w:p>
        </w:tc>
        <w:tc>
          <w:tcPr>
            <w:tcW w:type="dxa" w:w="2900"/>
            <w:shd w:fill="FFFFFF" w:color="auto" w:val="clear"/>
            <w:tcMar>
              <w:top w:type="dxa" w:w="55"/>
              <w:left w:type="dxa" w:w="90"/>
              <w:bottom w:type="dxa" w:w="55"/>
              <w:right w:type="dxa" w:w="90"/>
            </w:tcMar>
          </w:tcPr>
          <w:p>
            <w:pPr>
              <w:spacing w:after="0" w:line="250"/>
            </w:pPr>
            <w:r>
              <w:rPr>
                <w:color w:val="1B1A18"/>
                <w:sz w:val="18"/>
                <w:szCs w:val="18"/>
              </w:rPr>
              <w:t xml:space="preserve">Invisible layer clearly and accurately visible; crossings well chosen</w:t>
            </w:r>
          </w:p>
        </w:tc>
        <w:tc>
          <w:tcPr>
            <w:tcW w:type="dxa" w:w="2100"/>
            <w:shd w:fill="FFFFFF" w:color="auto" w:val="clear"/>
            <w:tcMar>
              <w:top w:type="dxa" w:w="55"/>
              <w:left w:type="dxa" w:w="90"/>
              <w:bottom w:type="dxa" w:w="55"/>
              <w:right w:type="dxa" w:w="90"/>
            </w:tcMar>
          </w:tcPr>
          <w:p>
            <w:pPr>
              <w:spacing w:after="0" w:line="250"/>
            </w:pPr>
            <w:r>
              <w:rPr>
                <w:color w:val="1B1A18"/>
                <w:sz w:val="18"/>
                <w:szCs w:val="18"/>
              </w:rPr>
              <w:t xml:space="preserve">Map correct but some crossings unclear</w:t>
            </w:r>
          </w:p>
        </w:tc>
        <w:tc>
          <w:tcPr>
            <w:tcW w:type="dxa" w:w="1400"/>
            <w:shd w:fill="FFFFFF" w:color="auto" w:val="clear"/>
            <w:tcMar>
              <w:top w:type="dxa" w:w="55"/>
              <w:left w:type="dxa" w:w="90"/>
              <w:bottom w:type="dxa" w:w="55"/>
              <w:right w:type="dxa" w:w="90"/>
            </w:tcMar>
          </w:tcPr>
          <w:p>
            <w:pPr>
              <w:spacing w:after="0" w:line="250"/>
            </w:pPr>
            <w:r>
              <w:rPr>
                <w:color w:val="1B1A18"/>
                <w:sz w:val="18"/>
                <w:szCs w:val="18"/>
              </w:rPr>
              <w:t xml:space="preserve">Systems-and-arrows only; invisible layer missing</w:t>
            </w:r>
          </w:p>
        </w:tc>
        <w:tc>
          <w:tcPr>
            <w:tcW w:type="dxa" w:w="680"/>
            <w:shd w:fill="FFFFFF" w:color="auto" w:val="clear"/>
            <w:tcMar>
              <w:top w:type="dxa" w:w="55"/>
              <w:left w:type="dxa" w:w="90"/>
              <w:bottom w:type="dxa" w:w="55"/>
              <w:right w:type="dxa" w:w="90"/>
            </w:tcMar>
          </w:tcPr>
          <w:p>
            <w:pPr>
              <w:spacing w:after="0" w:line="250"/>
            </w:pPr>
            <w:r>
              <w:rPr>
                <w:color w:val="1B1A18"/>
                <w:sz w:val="18"/>
                <w:szCs w:val="18"/>
              </w:rPr>
              <w:t xml:space="preserve">25</w:t>
            </w:r>
          </w:p>
        </w:tc>
      </w:tr>
      <w:tr>
        <w:tc>
          <w:tcPr>
            <w:tcW w:type="dxa" w:w="3000"/>
            <w:shd w:fill="F4F2EE" w:color="auto" w:val="clear"/>
            <w:tcMar>
              <w:top w:type="dxa" w:w="55"/>
              <w:left w:type="dxa" w:w="90"/>
              <w:bottom w:type="dxa" w:w="55"/>
              <w:right w:type="dxa" w:w="90"/>
            </w:tcMar>
          </w:tcPr>
          <w:p>
            <w:pPr>
              <w:spacing w:after="0" w:line="250"/>
            </w:pPr>
            <w:r>
              <w:rPr>
                <w:color w:val="1B1A18"/>
                <w:sz w:val="18"/>
                <w:szCs w:val="18"/>
              </w:rPr>
              <w:t xml:space="preserve">Correct use of the six-property vocabulary</w:t>
            </w:r>
          </w:p>
        </w:tc>
        <w:tc>
          <w:tcPr>
            <w:tcW w:type="dxa" w:w="2900"/>
            <w:shd w:fill="F4F2EE" w:color="auto" w:val="clear"/>
            <w:tcMar>
              <w:top w:type="dxa" w:w="55"/>
              <w:left w:type="dxa" w:w="90"/>
              <w:bottom w:type="dxa" w:w="55"/>
              <w:right w:type="dxa" w:w="90"/>
            </w:tcMar>
          </w:tcPr>
          <w:p>
            <w:pPr>
              <w:spacing w:after="0" w:line="250"/>
            </w:pPr>
            <w:r>
              <w:rPr>
                <w:color w:val="1B1A18"/>
                <w:sz w:val="18"/>
                <w:szCs w:val="18"/>
              </w:rPr>
              <w:t xml:space="preserve">Each property applied precisely, argued from the symptom</w:t>
            </w:r>
          </w:p>
        </w:tc>
        <w:tc>
          <w:tcPr>
            <w:tcW w:type="dxa" w:w="2100"/>
            <w:shd w:fill="F4F2EE" w:color="auto" w:val="clear"/>
            <w:tcMar>
              <w:top w:type="dxa" w:w="55"/>
              <w:left w:type="dxa" w:w="90"/>
              <w:bottom w:type="dxa" w:w="55"/>
              <w:right w:type="dxa" w:w="90"/>
            </w:tcMar>
          </w:tcPr>
          <w:p>
            <w:pPr>
              <w:spacing w:after="0" w:line="250"/>
            </w:pPr>
            <w:r>
              <w:rPr>
                <w:color w:val="1B1A18"/>
                <w:sz w:val="18"/>
                <w:szCs w:val="18"/>
              </w:rPr>
              <w:t xml:space="preserve">Mostly correct; occasional slip</w:t>
            </w:r>
          </w:p>
        </w:tc>
        <w:tc>
          <w:tcPr>
            <w:tcW w:type="dxa" w:w="1400"/>
            <w:shd w:fill="F4F2EE" w:color="auto" w:val="clear"/>
            <w:tcMar>
              <w:top w:type="dxa" w:w="55"/>
              <w:left w:type="dxa" w:w="90"/>
              <w:bottom w:type="dxa" w:w="55"/>
              <w:right w:type="dxa" w:w="90"/>
            </w:tcMar>
          </w:tcPr>
          <w:p>
            <w:pPr>
              <w:spacing w:after="0" w:line="250"/>
            </w:pPr>
            <w:r>
              <w:rPr>
                <w:color w:val="1B1A18"/>
                <w:sz w:val="18"/>
                <w:szCs w:val="18"/>
              </w:rPr>
              <w:t xml:space="preserve">Vocabulary misused or forced</w:t>
            </w:r>
          </w:p>
        </w:tc>
        <w:tc>
          <w:tcPr>
            <w:tcW w:type="dxa" w:w="680"/>
            <w:shd w:fill="F4F2EE" w:color="auto" w:val="clear"/>
            <w:tcMar>
              <w:top w:type="dxa" w:w="55"/>
              <w:left w:type="dxa" w:w="90"/>
              <w:bottom w:type="dxa" w:w="55"/>
              <w:right w:type="dxa" w:w="90"/>
            </w:tcMar>
          </w:tcPr>
          <w:p>
            <w:pPr>
              <w:spacing w:after="0" w:line="250"/>
            </w:pPr>
            <w:r>
              <w:rPr>
                <w:color w:val="1B1A18"/>
                <w:sz w:val="18"/>
                <w:szCs w:val="18"/>
              </w:rPr>
              <w:t xml:space="preserve">25</w:t>
            </w:r>
          </w:p>
        </w:tc>
      </w:tr>
      <w:tr>
        <w:tc>
          <w:tcPr>
            <w:tcW w:type="dxa" w:w="3000"/>
            <w:shd w:fill="FFFFFF" w:color="auto" w:val="clear"/>
            <w:tcMar>
              <w:top w:type="dxa" w:w="55"/>
              <w:left w:type="dxa" w:w="90"/>
              <w:bottom w:type="dxa" w:w="55"/>
              <w:right w:type="dxa" w:w="90"/>
            </w:tcMar>
          </w:tcPr>
          <w:p>
            <w:pPr>
              <w:spacing w:after="0" w:line="250"/>
            </w:pPr>
            <w:r>
              <w:rPr>
                <w:color w:val="1B1A18"/>
                <w:sz w:val="18"/>
                <w:szCs w:val="18"/>
              </w:rPr>
              <w:t xml:space="preserve">Depth of diagnosis</w:t>
            </w:r>
          </w:p>
        </w:tc>
        <w:tc>
          <w:tcPr>
            <w:tcW w:type="dxa" w:w="2900"/>
            <w:shd w:fill="FFFFFF" w:color="auto" w:val="clear"/>
            <w:tcMar>
              <w:top w:type="dxa" w:w="55"/>
              <w:left w:type="dxa" w:w="90"/>
              <w:bottom w:type="dxa" w:w="55"/>
              <w:right w:type="dxa" w:w="90"/>
            </w:tcMar>
          </w:tcPr>
          <w:p>
            <w:pPr>
              <w:spacing w:after="0" w:line="250"/>
            </w:pPr>
            <w:r>
              <w:rPr>
                <w:color w:val="1B1A18"/>
                <w:sz w:val="18"/>
                <w:szCs w:val="18"/>
              </w:rPr>
              <w:t xml:space="preserve">Failures are specific, plausible, and tied to the crossing</w:t>
            </w:r>
          </w:p>
        </w:tc>
        <w:tc>
          <w:tcPr>
            <w:tcW w:type="dxa" w:w="2100"/>
            <w:shd w:fill="FFFFFF" w:color="auto" w:val="clear"/>
            <w:tcMar>
              <w:top w:type="dxa" w:w="55"/>
              <w:left w:type="dxa" w:w="90"/>
              <w:bottom w:type="dxa" w:w="55"/>
              <w:right w:type="dxa" w:w="90"/>
            </w:tcMar>
          </w:tcPr>
          <w:p>
            <w:pPr>
              <w:spacing w:after="0" w:line="250"/>
            </w:pPr>
            <w:r>
              <w:rPr>
                <w:color w:val="1B1A18"/>
                <w:sz w:val="18"/>
                <w:szCs w:val="18"/>
              </w:rPr>
              <w:t xml:space="preserve">Reasonable but generic</w:t>
            </w:r>
          </w:p>
        </w:tc>
        <w:tc>
          <w:tcPr>
            <w:tcW w:type="dxa" w:w="1400"/>
            <w:shd w:fill="FFFFFF" w:color="auto" w:val="clear"/>
            <w:tcMar>
              <w:top w:type="dxa" w:w="55"/>
              <w:left w:type="dxa" w:w="90"/>
              <w:bottom w:type="dxa" w:w="55"/>
              <w:right w:type="dxa" w:w="90"/>
            </w:tcMar>
          </w:tcPr>
          <w:p>
            <w:pPr>
              <w:spacing w:after="0" w:line="250"/>
            </w:pPr>
            <w:r>
              <w:rPr>
                <w:color w:val="1B1A18"/>
                <w:sz w:val="18"/>
                <w:szCs w:val="18"/>
              </w:rPr>
              <w:t xml:space="preserve">Vague or asserted without reasoning</w:t>
            </w:r>
          </w:p>
        </w:tc>
        <w:tc>
          <w:tcPr>
            <w:tcW w:type="dxa" w:w="680"/>
            <w:shd w:fill="FFFFFF" w:color="auto" w:val="clear"/>
            <w:tcMar>
              <w:top w:type="dxa" w:w="55"/>
              <w:left w:type="dxa" w:w="90"/>
              <w:bottom w:type="dxa" w:w="55"/>
              <w:right w:type="dxa" w:w="90"/>
            </w:tcMar>
          </w:tcPr>
          <w:p>
            <w:pPr>
              <w:spacing w:after="0" w:line="250"/>
            </w:pPr>
            <w:r>
              <w:rPr>
                <w:color w:val="1B1A18"/>
                <w:sz w:val="18"/>
                <w:szCs w:val="18"/>
              </w:rPr>
              <w:t xml:space="preserve">20</w:t>
            </w:r>
          </w:p>
        </w:tc>
      </w:tr>
      <w:tr>
        <w:tc>
          <w:tcPr>
            <w:tcW w:type="dxa" w:w="3000"/>
            <w:shd w:fill="F4F2EE" w:color="auto" w:val="clear"/>
            <w:tcMar>
              <w:top w:type="dxa" w:w="55"/>
              <w:left w:type="dxa" w:w="90"/>
              <w:bottom w:type="dxa" w:w="55"/>
              <w:right w:type="dxa" w:w="90"/>
            </w:tcMar>
          </w:tcPr>
          <w:p>
            <w:pPr>
              <w:spacing w:after="0" w:line="250"/>
            </w:pPr>
            <w:r>
              <w:rPr>
                <w:color w:val="1B1A18"/>
                <w:sz w:val="18"/>
                <w:szCs w:val="18"/>
              </w:rPr>
              <w:t xml:space="preserve">Communication (report + talk)</w:t>
            </w:r>
          </w:p>
        </w:tc>
        <w:tc>
          <w:tcPr>
            <w:tcW w:type="dxa" w:w="2900"/>
            <w:shd w:fill="F4F2EE" w:color="auto" w:val="clear"/>
            <w:tcMar>
              <w:top w:type="dxa" w:w="55"/>
              <w:left w:type="dxa" w:w="90"/>
              <w:bottom w:type="dxa" w:w="55"/>
              <w:right w:type="dxa" w:w="90"/>
            </w:tcMar>
          </w:tcPr>
          <w:p>
            <w:pPr>
              <w:spacing w:after="0" w:line="250"/>
            </w:pPr>
            <w:r>
              <w:rPr>
                <w:color w:val="1B1A18"/>
                <w:sz w:val="18"/>
                <w:szCs w:val="18"/>
              </w:rPr>
              <w:t xml:space="preserve">Clear, jargon-free, non-technical audience served; all speak</w:t>
            </w:r>
          </w:p>
        </w:tc>
        <w:tc>
          <w:tcPr>
            <w:tcW w:type="dxa" w:w="2100"/>
            <w:shd w:fill="F4F2EE" w:color="auto" w:val="clear"/>
            <w:tcMar>
              <w:top w:type="dxa" w:w="55"/>
              <w:left w:type="dxa" w:w="90"/>
              <w:bottom w:type="dxa" w:w="55"/>
              <w:right w:type="dxa" w:w="90"/>
            </w:tcMar>
          </w:tcPr>
          <w:p>
            <w:pPr>
              <w:spacing w:after="0" w:line="250"/>
            </w:pPr>
            <w:r>
              <w:rPr>
                <w:color w:val="1B1A18"/>
                <w:sz w:val="18"/>
                <w:szCs w:val="18"/>
              </w:rPr>
              <w:t xml:space="preserve">Understandable; some jargon</w:t>
            </w:r>
          </w:p>
        </w:tc>
        <w:tc>
          <w:tcPr>
            <w:tcW w:type="dxa" w:w="1400"/>
            <w:shd w:fill="F4F2EE" w:color="auto" w:val="clear"/>
            <w:tcMar>
              <w:top w:type="dxa" w:w="55"/>
              <w:left w:type="dxa" w:w="90"/>
              <w:bottom w:type="dxa" w:w="55"/>
              <w:right w:type="dxa" w:w="90"/>
            </w:tcMar>
          </w:tcPr>
          <w:p>
            <w:pPr>
              <w:spacing w:after="0" w:line="250"/>
            </w:pPr>
            <w:r>
              <w:rPr>
                <w:color w:val="1B1A18"/>
                <w:sz w:val="18"/>
                <w:szCs w:val="18"/>
              </w:rPr>
              <w:t xml:space="preserve">Confusing or overly technical</w:t>
            </w:r>
          </w:p>
        </w:tc>
        <w:tc>
          <w:tcPr>
            <w:tcW w:type="dxa" w:w="680"/>
            <w:shd w:fill="F4F2EE" w:color="auto" w:val="clear"/>
            <w:tcMar>
              <w:top w:type="dxa" w:w="55"/>
              <w:left w:type="dxa" w:w="90"/>
              <w:bottom w:type="dxa" w:w="55"/>
              <w:right w:type="dxa" w:w="90"/>
            </w:tcMar>
          </w:tcPr>
          <w:p>
            <w:pPr>
              <w:spacing w:after="0" w:line="250"/>
            </w:pPr>
            <w:r>
              <w:rPr>
                <w:color w:val="1B1A18"/>
                <w:sz w:val="18"/>
                <w:szCs w:val="18"/>
              </w:rPr>
              <w:t xml:space="preserve">20</w:t>
            </w:r>
          </w:p>
        </w:tc>
      </w:tr>
      <w:tr>
        <w:tc>
          <w:tcPr>
            <w:tcW w:type="dxa" w:w="3000"/>
            <w:shd w:fill="FFFFFF" w:color="auto" w:val="clear"/>
            <w:tcMar>
              <w:top w:type="dxa" w:w="55"/>
              <w:left w:type="dxa" w:w="90"/>
              <w:bottom w:type="dxa" w:w="55"/>
              <w:right w:type="dxa" w:w="90"/>
            </w:tcMar>
          </w:tcPr>
          <w:p>
            <w:pPr>
              <w:spacing w:after="0" w:line="250"/>
            </w:pPr>
            <w:r>
              <w:rPr>
                <w:color w:val="1B1A18"/>
                <w:sz w:val="18"/>
                <w:szCs w:val="18"/>
              </w:rPr>
              <w:t xml:space="preserve">Teamwork &amp; process</w:t>
            </w:r>
          </w:p>
        </w:tc>
        <w:tc>
          <w:tcPr>
            <w:tcW w:type="dxa" w:w="2900"/>
            <w:shd w:fill="FFFFFF" w:color="auto" w:val="clear"/>
            <w:tcMar>
              <w:top w:type="dxa" w:w="55"/>
              <w:left w:type="dxa" w:w="90"/>
              <w:bottom w:type="dxa" w:w="55"/>
              <w:right w:type="dxa" w:w="90"/>
            </w:tcMar>
          </w:tcPr>
          <w:p>
            <w:pPr>
              <w:spacing w:after="0" w:line="250"/>
            </w:pPr>
            <w:r>
              <w:rPr>
                <w:color w:val="1B1A18"/>
                <w:sz w:val="18"/>
                <w:szCs w:val="18"/>
              </w:rPr>
              <w:t xml:space="preserve">Milestones met; balanced contribution (peer eval)</w:t>
            </w:r>
          </w:p>
        </w:tc>
        <w:tc>
          <w:tcPr>
            <w:tcW w:type="dxa" w:w="2100"/>
            <w:shd w:fill="FFFFFF" w:color="auto" w:val="clear"/>
            <w:tcMar>
              <w:top w:type="dxa" w:w="55"/>
              <w:left w:type="dxa" w:w="90"/>
              <w:bottom w:type="dxa" w:w="55"/>
              <w:right w:type="dxa" w:w="90"/>
            </w:tcMar>
          </w:tcPr>
          <w:p>
            <w:pPr>
              <w:spacing w:after="0" w:line="250"/>
            </w:pPr>
            <w:r>
              <w:rPr>
                <w:color w:val="1B1A18"/>
                <w:sz w:val="18"/>
                <w:szCs w:val="18"/>
              </w:rPr>
              <w:t xml:space="preserve">Milestones mostly met</w:t>
            </w:r>
          </w:p>
        </w:tc>
        <w:tc>
          <w:tcPr>
            <w:tcW w:type="dxa" w:w="1400"/>
            <w:shd w:fill="FFFFFF" w:color="auto" w:val="clear"/>
            <w:tcMar>
              <w:top w:type="dxa" w:w="55"/>
              <w:left w:type="dxa" w:w="90"/>
              <w:bottom w:type="dxa" w:w="55"/>
              <w:right w:type="dxa" w:w="90"/>
            </w:tcMar>
          </w:tcPr>
          <w:p>
            <w:pPr>
              <w:spacing w:after="0" w:line="250"/>
            </w:pPr>
            <w:r>
              <w:rPr>
                <w:color w:val="1B1A18"/>
                <w:sz w:val="18"/>
                <w:szCs w:val="18"/>
              </w:rPr>
              <w:t xml:space="preserve">Milestones missed; uneven</w:t>
            </w:r>
          </w:p>
        </w:tc>
        <w:tc>
          <w:tcPr>
            <w:tcW w:type="dxa" w:w="680"/>
            <w:shd w:fill="FFFFFF" w:color="auto" w:val="clear"/>
            <w:tcMar>
              <w:top w:type="dxa" w:w="55"/>
              <w:left w:type="dxa" w:w="90"/>
              <w:bottom w:type="dxa" w:w="55"/>
              <w:right w:type="dxa" w:w="90"/>
            </w:tcMar>
          </w:tcPr>
          <w:p>
            <w:pPr>
              <w:spacing w:after="0" w:line="250"/>
            </w:pPr>
            <w:r>
              <w:rPr>
                <w:color w:val="1B1A18"/>
                <w:sz w:val="18"/>
                <w:szCs w:val="18"/>
              </w:rPr>
              <w:t xml:space="preserve">10</w:t>
            </w:r>
          </w:p>
        </w:tc>
      </w:tr>
    </w:tbl>
    <w:p>
      <w:pPr>
        <w:spacing w:after="110" w:line="276"/>
      </w:pPr>
      <w:r>
        <w:rPr>
          <w:i/>
          <w:iCs/>
          <w:color w:val="6E6A62"/>
          <w:sz w:val="20"/>
          <w:szCs w:val="20"/>
        </w:rPr>
        <w:t xml:space="preserve">Note: the rubric rewards diagnosis, not solutions. Teams are explicitly NOT graded on proposing a technical fix — the goal is to see and name what the structure does not carry.</w:t>
      </w:r>
    </w:p>
    <w:p>
      <w:pPr>
        <w:pStyle w:val="Heading1"/>
        <w:spacing w:after="130" w:before="300"/>
      </w:pPr>
      <w:r>
        <w:rPr>
          <w:b/>
          <w:bCs/>
          <w:color w:val="33302B"/>
          <w:sz w:val="29"/>
          <w:szCs w:val="29"/>
        </w:rPr>
        <w:t xml:space="preserve">7 · Team roles &amp; peer evaluation</w:t>
      </w:r>
    </w:p>
    <w:p>
      <w:pPr>
        <w:spacing w:after="110" w:line="276"/>
      </w:pPr>
      <w:r>
        <w:rPr>
          <w:color w:val="1B1A18"/>
          <w:sz w:val="20"/>
          <w:szCs w:val="20"/>
        </w:rPr>
        <w:t xml:space="preserve">Suggested rotating roles: facilitator (keeps milestones), cartographer (owns the map), analyst (owns the property analysis), and presenter-lead (owns the talk) — though all members contribute to all parts and all must speak. At final submission, each student privately submits a short peer evaluation scoring balance of contribution; this informs the teamwork criterion.</w:t>
      </w:r>
    </w:p>
    <w:p>
      <w:pPr>
        <w:pStyle w:val="Heading1"/>
        <w:spacing w:after="130" w:before="300"/>
      </w:pPr>
      <w:r>
        <w:rPr>
          <w:b/>
          <w:bCs/>
          <w:color w:val="33302B"/>
          <w:sz w:val="29"/>
          <w:szCs w:val="29"/>
        </w:rPr>
        <w:t xml:space="preserve">8 · Academic integrity</w:t>
      </w:r>
    </w:p>
    <w:p>
      <w:pPr>
        <w:spacing w:after="110" w:line="276"/>
      </w:pPr>
      <w:r>
        <w:rPr>
          <w:color w:val="1B1A18"/>
          <w:sz w:val="20"/>
          <w:szCs w:val="20"/>
        </w:rPr>
        <w:t xml:space="preserve">The analysis must be the team’s own. If AI tools are used to draft or edit text, disclose it in a one-line note; the diagnostic reasoning — which property, which failure, which test — must be the students’ own work. Cite any external description of the chosen process. Standard [Institution] integrity rules apply.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9" w:sz="6"/>
      </w:pBdr>
      <w:spacing w:before="60"/>
      <w:jc w:val="center"/>
    </w:pPr>
    <w:r>
      <w:rPr>
        <w:color w:val="6E6A62"/>
        <w:sz w:val="16"/>
        <w:szCs w:val="16"/>
      </w:rPr>
      <w:t xml:space="preserve">BSc — Foundations of the Agentic Enterprise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2C9" w:sz="6"/>
      </w:pBdr>
      <w:spacing w:after="60"/>
      <w:jc w:val="right"/>
    </w:pPr>
    <w:r>
      <w:rPr>
        <w:caps/>
        <w:color w:val="6E6A62"/>
        <w:sz w:val="16"/>
        <w:szCs w:val="16"/>
      </w:rPr>
      <w:t xml:space="preserve">Team Project Kit — The Crossing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3302B"/>
      </w:rPr>
    </w:lvl>
  </w:abstractNum>
  <w:abstractNum w:abstractNumId="3" w15:restartNumberingAfterBreak="0">
    <w:multiLevelType w:val="hybridMultilevel"/>
    <w:lvl w:ilvl="0" w15:tentative="1">
      <w:start w:val="1"/>
      <w:numFmt w:val="lowerLetter"/>
      <w:lvlText w:val="%1)"/>
      <w:lvlJc w:val="left"/>
      <w:pPr>
        <w:ind w:left="720" w:hanging="280"/>
      </w:pPr>
    </w:lvl>
  </w:abstractNum>
  <w:abstractNum w:abstractNumId="4"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5"/>
      <w:szCs w:val="55"/>
    </w:rPr>
  </w:style>
  <w:style w:type="paragraph" w:styleId="Heading1">
    <w:name w:val="Heading 1"/>
    <w:basedOn w:val="Normal"/>
    <w:next w:val="Normal"/>
    <w:qFormat/>
    <w:rPr>
      <w:color w:val="33302B"/>
      <w:sz w:val="31"/>
      <w:szCs w:val="31"/>
    </w:rPr>
  </w:style>
  <w:style w:type="paragraph" w:styleId="Heading2">
    <w:name w:val="Heading 2"/>
    <w:basedOn w:val="Normal"/>
    <w:next w:val="Normal"/>
    <w:qFormat/>
    <w:rPr>
      <w:color w:val="33302B"/>
      <w:sz w:val="25"/>
      <w:szCs w:val="25"/>
    </w:rPr>
  </w:style>
  <w:style w:type="paragraph" w:styleId="Heading3">
    <w:name w:val="Heading 3"/>
    <w:basedOn w:val="Normal"/>
    <w:next w:val="Normal"/>
    <w:qFormat/>
    <w:rPr>
      <w:color w:val="33302B"/>
      <w:sz w:val="23"/>
      <w:szCs w:val="23"/>
    </w:rPr>
  </w:style>
  <w:style w:type="paragraph" w:styleId="Heading4">
    <w:name w:val="Heading 4"/>
    <w:basedOn w:val="Normal"/>
    <w:next w:val="Normal"/>
    <w:qFormat/>
    <w:rPr>
      <w:i/>
      <w:iCs/>
      <w:color w:val="33302B"/>
    </w:rPr>
  </w:style>
  <w:style w:type="paragraph" w:styleId="Heading5">
    <w:name w:val="Heading 5"/>
    <w:basedOn w:val="Normal"/>
    <w:next w:val="Normal"/>
    <w:qFormat/>
    <w:rPr>
      <w:color w:val="33302B"/>
    </w:rPr>
  </w:style>
  <w:style w:type="paragraph" w:styleId="Heading6">
    <w:name w:val="Heading 6"/>
    <w:basedOn w:val="Normal"/>
    <w:next w:val="Normal"/>
    <w:qFormat/>
    <w:rPr>
      <w:color w:val="33302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7534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9"/>
      <w:szCs w:val="19"/>
    </w:rPr>
  </w:style>
  <w:style w:type="character" w:styleId="FootnoteTextChar">
    <w:name w:val="Footnote Text Char"/>
    <w:basedOn w:val="DefaultParagraphFont"/>
    <w:link w:val="FootnoteText"/>
    <w:uiPriority w:val="99"/>
    <w:semiHidden/>
    <w:unhideWhenUsed/>
    <w:rPr>
      <w:sz w:val="19"/>
      <w:szCs w:val="19"/>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9"/>
      <w:szCs w:val="19"/>
    </w:rPr>
  </w:style>
  <w:style w:type="character" w:styleId="EndnoteTextChar">
    <w:name w:val="Endnote Text Char"/>
    <w:basedOn w:val="DefaultParagraphFont"/>
    <w:link w:val="EndnoteText"/>
    <w:uiPriority w:val="99"/>
    <w:semiHidden/>
    <w:unhideWhenUsed/>
    <w:rPr>
      <w:sz w:val="19"/>
      <w:szCs w:val="19"/>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1B1A18"/>
      <w:sz w:val="23"/>
      <w:szCs w:val="23"/>
    </w:rPr>
  </w:style>
  <w:style w:type="paragraph" w:styleId="Heading3">
    <w:name w:val="Heading 3"/>
    <w:basedOn w:val="Normal"/>
    <w:next w:val="Normal"/>
    <w:qFormat/>
    <w:rPr>
      <w:rFonts w:ascii="Georgia" w:cs="Georgia" w:eastAsia="Georgia" w:hAnsi="Georgia"/>
      <w:b/>
      <w:bCs/>
      <w:color w:val="5753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BSc Team Project Kit — The Crossing Map</dc:title>
  <dc:creator>MudoZangl — BSc course materials</dc:creator>
  <cp:lastModifiedBy>Un-named</cp:lastModifiedBy>
  <cp:revision>1</cp:revision>
  <dcterms:created xsi:type="dcterms:W3CDTF">2026-08-15T17:24:01.852Z</dcterms:created>
  <dcterms:modified xsi:type="dcterms:W3CDTF">2026-08-15T17:24:01.852Z</dcterms:modified>
</cp:coreProperties>
</file>

<file path=docProps/custom.xml><?xml version="1.0" encoding="utf-8"?>
<Properties xmlns="http://schemas.openxmlformats.org/officeDocument/2006/custom-properties" xmlns:vt="http://schemas.openxmlformats.org/officeDocument/2006/docPropsVTypes"/>
</file>