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</w:pPr>
      <w:r>
        <w:rPr>
          <w:b/>
          <w:bCs/>
          <w:caps/>
          <w:color w:val="33302B"/>
          <w:spacing w:val="40"/>
          <w:sz w:val="21"/>
          <w:szCs w:val="21"/>
        </w:rPr>
        <w:t xml:space="preserve">Week 6 tutorial</w:t>
      </w:r>
    </w:p>
    <w:p>
      <w:pPr>
        <w:pBdr>
          <w:bottom w:val="single" w:color="33302B" w:sz="12"/>
        </w:pBdr>
        <w:spacing w:after="120"/>
      </w:pPr>
      <w:r>
        <w:rPr>
          <w:b/>
          <w:bCs/>
          <w:color w:val="1B1A18"/>
          <w:sz w:val="47"/>
          <w:szCs w:val="47"/>
        </w:rPr>
        <w:t xml:space="preserve">Incident Cards</w:t>
      </w:r>
    </w:p>
    <w:p>
      <w:pPr>
        <w:spacing w:after="300" w:before="140"/>
      </w:pPr>
      <w:r>
        <w:rPr>
          <w:i/>
          <w:iCs/>
          <w:color w:val="6E6A62"/>
          <w:sz w:val="23"/>
          <w:szCs w:val="23"/>
        </w:rPr>
        <w:t xml:space="preserve">Match the failure to the missing property — a printable card set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Course: </w:t>
      </w:r>
      <w:r>
        <w:rPr>
          <w:color w:val="1B1A18"/>
          <w:sz w:val="20"/>
          <w:szCs w:val="20"/>
        </w:rPr>
        <w:t xml:space="preserve">Foundations of the Agentic Enterprise (BSc)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Source text: </w:t>
      </w:r>
      <w:r>
        <w:rPr>
          <w:i/>
          <w:iCs/>
          <w:color w:val="1B1A18"/>
          <w:sz w:val="20"/>
          <w:szCs w:val="20"/>
        </w:rPr>
        <w:t xml:space="preserve">What the Structure Does Not Carry</w:t>
      </w:r>
      <w:r>
        <w:rPr>
          <w:color w:val="1B1A18"/>
          <w:sz w:val="20"/>
          <w:szCs w:val="20"/>
        </w:rPr>
        <w:t xml:space="preserve"> — Georg Zangl (2026)</w:t>
      </w:r>
    </w:p>
    <w:p>
      <w:pPr>
        <w:spacing w:after="300" w:line="276"/>
      </w:pPr>
      <w:r>
        <w:rPr>
          <w:b/>
          <w:bCs/>
          <w:color w:val="1B1A18"/>
          <w:sz w:val="20"/>
          <w:szCs w:val="20"/>
        </w:rPr>
        <w:t xml:space="preserve">Instructor: </w:t>
      </w:r>
      <w:r>
        <w:rPr>
          <w:color w:val="1B1A18"/>
          <w:sz w:val="20"/>
          <w:szCs w:val="20"/>
        </w:rPr>
        <w:t xml:space="preserve">[Instructor name]     </w:t>
      </w:r>
      <w:r>
        <w:rPr>
          <w:b/>
          <w:bCs/>
          <w:color w:val="1B1A18"/>
          <w:sz w:val="20"/>
          <w:szCs w:val="20"/>
        </w:rPr>
        <w:t xml:space="preserve">Term: </w:t>
      </w:r>
      <w:r>
        <w:rPr>
          <w:color w:val="1B1A18"/>
          <w:sz w:val="20"/>
          <w:szCs w:val="20"/>
        </w:rPr>
        <w:t xml:space="preserve">[Term / year]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These ten incident cards support the Week 6 tutorial, in which students match a described failure to the property that was not in custody — arguing from the symptom, not from an assumed cause. Each card describes a short, realistic incident; several deliberately implicate more than one property, which is a useful point of discussion.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How to run it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Prepare — </w:t>
      </w:r>
      <w:r>
        <w:rPr>
          <w:color w:val="1B1A18"/>
          <w:sz w:val="20"/>
          <w:szCs w:val="20"/>
        </w:rPr>
        <w:t xml:space="preserve">Print the card sheet (next page) and cut along the grid; hand each small group a full set.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Match — </w:t>
      </w:r>
      <w:r>
        <w:rPr>
          <w:color w:val="1B1A18"/>
          <w:sz w:val="20"/>
          <w:szCs w:val="20"/>
        </w:rPr>
        <w:t xml:space="preserve">For each card, the group decides which of the six properties is missing and writes one sentence of justification from the symptom.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Test — </w:t>
      </w:r>
      <w:r>
        <w:rPr>
          <w:color w:val="1B1A18"/>
          <w:sz w:val="20"/>
          <w:szCs w:val="20"/>
        </w:rPr>
        <w:t xml:space="preserve">For Cards 1 and 2 (context and authority), groups also write the specific ‘test’ they would apply to check custody.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Compare — </w:t>
      </w:r>
      <w:r>
        <w:rPr>
          <w:color w:val="1B1A18"/>
          <w:sz w:val="20"/>
          <w:szCs w:val="20"/>
        </w:rPr>
        <w:t xml:space="preserve">Reconvene and compare; use the facilitator key to surface where reasonable people disagree (Cards 5, 7 and 8 are the richest debates).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Tip: resist confirming the ‘right’ answer too quickly. The learning is in defending a property choice from the damage described, exactly as the book’s diagnostic method requires.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Card sheet — print &amp; cut</w:t>
      </w:r>
    </w:p>
    <w:p>
      <w:pPr>
        <w:spacing w:after="140" w:line="276"/>
      </w:pPr>
      <w:r>
        <w:rPr>
          <w:i/>
          <w:iCs/>
          <w:color w:val="6E6A62"/>
          <w:sz w:val="20"/>
          <w:szCs w:val="20"/>
        </w:rPr>
        <w:t xml:space="preserve">Cut along the grid lines. One full set per group.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5040"/>
        <w:gridCol w:w="5040"/>
      </w:tblGrid>
      <w:tr>
        <w:trPr>
          <w:trHeight w:val="1900" w:hRule="atLeast"/>
        </w:trPr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1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 quarterly figure of “400” was exported from planning to procurement as a routine budget line. Nobody at procurement realised it was a regulatory not-to-exceed ceiling for the period.</w:t>
            </w:r>
          </w:p>
        </w:tc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2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An AI purchasing agent approved an order by relying on the procurement system’s local “manager up to a threshold” role — with no idea that an external, tighter ceiling applied to this commitment.</w:t>
            </w:r>
          </w:p>
        </w:tc>
      </w:tr>
      <w:tr>
        <w:trPr>
          <w:trHeight w:val="1900" w:hRule="atLeast"/>
        </w:trPr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3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Six months after an overspend, the company spent three weeks interviewing former staff and searching old emails to work out who had authorised it.</w:t>
            </w:r>
          </w:p>
        </w:tc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4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Sales promised a delivery date that the operations system never received. Each system was internally consistent, yet the company told the customer one thing and its warehouse another.</w:t>
            </w:r>
          </w:p>
        </w:tc>
      </w:tr>
      <w:tr>
        <w:trPr>
          <w:trHeight w:val="1900" w:hRule="atLeast"/>
        </w:trPr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5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 payment that must never go to a credit-frozen counterparty was released anyway. The freeze lived in one system; the payment ran through another that had never heard of it.</w:t>
            </w:r>
          </w:p>
        </w:tc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6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 retiring engineer was the only person who knew why readings from Field 7 could not be trusted after a workover. When she left, the reason left with her.</w:t>
            </w:r>
          </w:p>
        </w:tc>
      </w:tr>
      <w:tr>
        <w:trPr>
          <w:trHeight w:val="1900" w:hRule="atLeast"/>
        </w:trPr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7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 dashboard clearly showed a worsening problem for months. Nothing changed, because the insight ended in a person and connected to no authorised action anywhere in the architecture.</w:t>
            </w:r>
          </w:p>
        </w:tc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8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 model was instructed by its system prompt never to reveal confidential data. A crafted input caused it to do exactly that.</w:t>
            </w:r>
          </w:p>
        </w:tc>
      </w:tr>
      <w:tr>
        <w:trPr>
          <w:trHeight w:val="1900" w:hRule="atLeast"/>
        </w:trPr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9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An attacker quietly wrote a false ‘fact’ into the company knowledge base. Months later, agents and staff cited it as true in decisions.</w:t>
            </w:r>
          </w:p>
        </w:tc>
        <w:tc>
          <w:tcPr>
            <w:tcW w:type="dxa" w:w="504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aps/>
                <w:color w:val="57534A"/>
                <w:spacing w:val="20"/>
                <w:sz w:val="17"/>
                <w:szCs w:val="17"/>
              </w:rPr>
              <w:t xml:space="preserve">CARD 10</w:t>
            </w:r>
          </w:p>
          <w:p>
            <w:pPr>
              <w:spacing w:line="264"/>
            </w:pPr>
            <w:r>
              <w:rPr>
                <w:color w:val="1B1A18"/>
                <w:sz w:val="19"/>
                <w:szCs w:val="19"/>
              </w:rPr>
              <w:t xml:space="preserve">Two teams each built a correct, well-tested automation. Together they double-counted a supplier rebate, because no shared invariant governed the seam between them.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Facilitator key</w:t>
      </w:r>
    </w:p>
    <w:p>
      <w:pPr>
        <w:spacing w:after="110" w:line="276"/>
      </w:pPr>
      <w:r>
        <w:rPr>
          <w:i/>
          <w:iCs/>
          <w:color w:val="57534A"/>
          <w:sz w:val="20"/>
          <w:szCs w:val="20"/>
        </w:rPr>
        <w:t xml:space="preserve">Not for distribution.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900"/>
        <w:gridCol w:w="3000"/>
        <w:gridCol w:w="6180"/>
      </w:tblGrid>
      <w:tr>
        <w:trPr>
          <w:tblHeader/>
        </w:trPr>
        <w:tc>
          <w:tcPr>
            <w:tcW w:type="dxa" w:w="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0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 not in custody</w:t>
            </w:r>
          </w:p>
        </w:tc>
        <w:tc>
          <w:tcPr>
            <w:tcW w:type="dxa" w:w="61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(argue from the symptom)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Context</w:t>
            </w:r>
          </w:p>
        </w:tc>
        <w:tc>
          <w:tcPr>
            <w:tcW w:type="dxa" w:w="6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The data (400) crossed; its meaning (a hard ceiling, with a reason) did not — a classic meaning error.</w:t>
            </w:r>
          </w:p>
        </w:tc>
      </w:tr>
      <w:tr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Authority</w:t>
            </w:r>
          </w:p>
        </w:tc>
        <w:tc>
          <w:tcPr>
            <w:tcW w:type="dxa" w:w="61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The decision right did not travel with the work, so the destination substituted whatever authority its own permission model could express.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6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Attribution assembled by investigation is accountability that was never carried; provenance must be a by-product of the action itself.</w:t>
            </w:r>
          </w:p>
        </w:tc>
      </w:tr>
      <w:tr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61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Two systems each correct on their own, jointly wrong — alignment was left to people, not carried as a shared invariant at the seam.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Execution coherence</w:t>
            </w:r>
          </w:p>
        </w:tc>
        <w:tc>
          <w:tcPr>
            <w:tcW w:type="dxa" w:w="6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 non-negotiable was not enforced at the crossing the work actually passed through — it held at some doors and not others.</w:t>
            </w:r>
          </w:p>
        </w:tc>
      </w:tr>
      <w:tr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Institutional memory</w:t>
            </w:r>
          </w:p>
        </w:tc>
        <w:tc>
          <w:tcPr>
            <w:tcW w:type="dxa" w:w="61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Knowledge that lives only in a person is not in the enterprise’s custody; durable memory needs a written, provenance-bearing home.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Coordination (knowledge ↔ action)</w:t>
            </w:r>
          </w:p>
        </w:tc>
        <w:tc>
          <w:tcPr>
            <w:tcW w:type="dxa" w:w="6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Analytics preserved memory but not decision: the crossing between what the enterprise knows and what it may do was never built.</w:t>
            </w:r>
          </w:p>
        </w:tc>
      </w:tr>
      <w:tr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Execution coherence / Authority</w:t>
            </w:r>
          </w:p>
        </w:tc>
        <w:tc>
          <w:tcPr>
            <w:tcW w:type="dxa" w:w="61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The ‘never’ was placed in a request to the model, not in a structural gate — instructed behaviour is not guaranteed behaviour.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Institutional memory</w:t>
            </w:r>
          </w:p>
        </w:tc>
        <w:tc>
          <w:tcPr>
            <w:tcW w:type="dxa" w:w="6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Memory that anything can write is not memory; without ceremony to write and provenance to trust, it becomes a time-shifted attack surface.</w:t>
            </w:r>
          </w:p>
        </w:tc>
      </w:tr>
      <w:tr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61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color w:val="1B1A18"/>
                <w:sz w:val="18"/>
                <w:szCs w:val="18"/>
              </w:rPr>
              <w:t xml:space="preserve">Whatever merely connects does not coordinate; alignment requires a shared invariant at the seam, not two locally-correct systems.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Suggested ‘tests’ for Cards 1 &amp; 2</w:t>
      </w:r>
    </w:p>
    <w:p>
      <w:pPr>
        <w:spacing w:after="110" w:line="276"/>
      </w:pPr>
      <w:r>
        <w:rPr>
          <w:b/>
          <w:bCs/>
          <w:color w:val="1B1A18"/>
          <w:sz w:val="20"/>
          <w:szCs w:val="20"/>
        </w:rPr>
        <w:t xml:space="preserve">Card 1 (context): </w:t>
      </w:r>
      <w:r>
        <w:rPr>
          <w:color w:val="1B1A18"/>
          <w:sz w:val="20"/>
          <w:szCs w:val="20"/>
        </w:rPr>
        <w:t xml:space="preserve">Ask the receiving side not what the number is, but what it means and why it is constrained. If that needs a phone call, context is not in custody.</w:t>
      </w:r>
    </w:p>
    <w:p>
      <w:pPr>
        <w:spacing w:after="110" w:line="276"/>
      </w:pPr>
      <w:r>
        <w:rPr>
          <w:b/>
          <w:bCs/>
          <w:color w:val="1B1A18"/>
          <w:sz w:val="20"/>
          <w:szCs w:val="20"/>
        </w:rPr>
        <w:t xml:space="preserve">Card 2 (authority): </w:t>
      </w:r>
      <w:r>
        <w:rPr>
          <w:color w:val="1B1A18"/>
          <w:sz w:val="20"/>
          <w:szCs w:val="20"/>
        </w:rPr>
        <w:t xml:space="preserve">Is the decision right carried as inspectable data and enforced at the boundary the work crosses — or re-derived from local roles at each destination?</w:t>
      </w:r>
    </w:p>
    <w:p>
      <w:pPr>
        <w:pStyle w:val="Heading2"/>
        <w:spacing w:after="90" w:before="220"/>
      </w:pPr>
      <w:r>
        <w:rPr>
          <w:b/>
          <w:bCs/>
          <w:color w:val="1B1A18"/>
          <w:sz w:val="23"/>
          <w:szCs w:val="23"/>
        </w:rPr>
        <w:t xml:space="preserve">Where the debate is richest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Card 5 — </w:t>
      </w:r>
      <w:r>
        <w:rPr>
          <w:color w:val="1B1A18"/>
          <w:sz w:val="20"/>
          <w:szCs w:val="20"/>
        </w:rPr>
        <w:t xml:space="preserve">Card 5 sits between execution coherence (the ‘never’ not enforced at the crossing) and coordination (the freeze not shared across the seam). Both are defensible; the sharper reading is coherence, because it is a non-negotiable that must hold at every door.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Card 7 — </w:t>
      </w:r>
      <w:r>
        <w:rPr>
          <w:color w:val="1B1A18"/>
          <w:sz w:val="20"/>
          <w:szCs w:val="20"/>
        </w:rPr>
        <w:t xml:space="preserve">Card 7 is the ‘analytics preserves memory but not decision’ case: the missing crossing is between knowing and authorised acting. Accept coordination; probe why it is not simply ‘memory’.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1A18"/>
          <w:sz w:val="20"/>
          <w:szCs w:val="20"/>
        </w:rPr>
        <w:t xml:space="preserve">Card 8 — </w:t>
      </w:r>
      <w:r>
        <w:rPr>
          <w:color w:val="1B1A18"/>
          <w:sz w:val="20"/>
          <w:szCs w:val="20"/>
        </w:rPr>
        <w:t xml:space="preserve">Card 8 tempts students toward ‘the model failed’. Redirect: the model behaved probabilistically, as it always may — the failure is that the ‘never’ lived in a prompt (a request), not in structure.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Whichever property a group defends, reward reasoning that ties the choice to the specific damage and, where relevant, names where the property should have been carried or enforced.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2C9" w:sz="6"/>
      </w:pBdr>
      <w:spacing w:before="60"/>
      <w:jc w:val="center"/>
    </w:pPr>
    <w:r>
      <w:rPr>
        <w:color w:val="6E6A62"/>
        <w:sz w:val="16"/>
        <w:szCs w:val="16"/>
      </w:rPr>
      <w:t xml:space="preserve">BSc — Foundations of the Agentic Enterprise   ·   Page </w:t>
    </w:r>
    <w:r>
      <w:rPr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2C9" w:sz="6"/>
      </w:pBdr>
      <w:spacing w:after="60"/>
      <w:jc w:val="right"/>
    </w:pPr>
    <w:r>
      <w:rPr>
        <w:caps/>
        <w:color w:val="6E6A62"/>
        <w:sz w:val="16"/>
        <w:szCs w:val="16"/>
      </w:rPr>
      <w:t xml:space="preserve">Week 6 Incident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330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5"/>
      <w:szCs w:val="55"/>
    </w:rPr>
  </w:style>
  <w:style w:type="paragraph" w:styleId="Heading1">
    <w:name w:val="Heading 1"/>
    <w:basedOn w:val="Normal"/>
    <w:next w:val="Normal"/>
    <w:qFormat/>
    <w:rPr>
      <w:color w:val="33302B"/>
      <w:sz w:val="31"/>
      <w:szCs w:val="31"/>
    </w:rPr>
  </w:style>
  <w:style w:type="paragraph" w:styleId="Heading2">
    <w:name w:val="Heading 2"/>
    <w:basedOn w:val="Normal"/>
    <w:next w:val="Normal"/>
    <w:qFormat/>
    <w:rPr>
      <w:color w:val="33302B"/>
      <w:sz w:val="25"/>
      <w:szCs w:val="25"/>
    </w:rPr>
  </w:style>
  <w:style w:type="paragraph" w:styleId="Heading3">
    <w:name w:val="Heading 3"/>
    <w:basedOn w:val="Normal"/>
    <w:next w:val="Normal"/>
    <w:qFormat/>
    <w:rPr>
      <w:color w:val="33302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33302B"/>
    </w:rPr>
  </w:style>
  <w:style w:type="paragraph" w:styleId="Heading5">
    <w:name w:val="Heading 5"/>
    <w:basedOn w:val="Normal"/>
    <w:next w:val="Normal"/>
    <w:qFormat/>
    <w:rPr>
      <w:color w:val="33302B"/>
    </w:rPr>
  </w:style>
  <w:style w:type="paragraph" w:styleId="Heading6">
    <w:name w:val="Heading 6"/>
    <w:basedOn w:val="Normal"/>
    <w:next w:val="Normal"/>
    <w:qFormat/>
    <w:rPr>
      <w:color w:val="33302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57534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19"/>
      <w:szCs w:val="19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33302B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B1A1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5753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 Week 6 Incident Cards</dc:title>
  <dc:creator>MudoZangl — BSc course materials</dc:creator>
  <cp:lastModifiedBy>Un-named</cp:lastModifiedBy>
  <cp:revision>1</cp:revision>
  <dcterms:created xsi:type="dcterms:W3CDTF">2026-08-16T04:35:30.988Z</dcterms:created>
  <dcterms:modified xsi:type="dcterms:W3CDTF">2026-08-16T04:35:31.007Z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