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0"/>
        <w:jc w:val="center"/>
      </w:pPr>
      <w:r>
        <w:rPr>
          <w:b/>
          <w:bCs/>
          <w:caps/>
          <w:color w:val="33302B"/>
          <w:spacing w:val="40"/>
          <w:sz w:val="21"/>
          <w:szCs w:val="21"/>
        </w:rPr>
        <w:t xml:space="preserve">Bachelor of Science · Upper-division elective</w:t>
      </w:r>
    </w:p>
    <w:p>
      <w:pPr>
        <w:pBdr>
          <w:bottom w:val="single" w:color="33302B" w:sz="12"/>
        </w:pBdr>
        <w:spacing w:after="120"/>
        <w:jc w:val="center"/>
      </w:pPr>
      <w:r>
        <w:rPr>
          <w:b/>
          <w:bCs/>
          <w:color w:val="1B1A18"/>
          <w:sz w:val="45"/>
          <w:szCs w:val="45"/>
        </w:rPr>
        <w:t xml:space="preserve">Foundations of the Agentic Enterprise</w:t>
      </w:r>
    </w:p>
    <w:p>
      <w:pPr>
        <w:spacing w:after="60" w:before="140"/>
        <w:jc w:val="center"/>
      </w:pPr>
      <w:r>
        <w:rPr>
          <w:i/>
          <w:iCs/>
          <w:color w:val="6E6A62"/>
          <w:sz w:val="23"/>
          <w:szCs w:val="23"/>
        </w:rPr>
        <w:t xml:space="preserve">Architecture as the Custody of What Matters</w:t>
      </w:r>
    </w:p>
    <w:p>
      <w:pPr>
        <w:spacing w:after="40" w:before="60"/>
        <w:jc w:val="center"/>
      </w:pPr>
      <w:r>
        <w:rPr>
          <w:color w:val="6E6A62"/>
          <w:sz w:val="19"/>
          <w:szCs w:val="19"/>
        </w:rPr>
        <w:t xml:space="preserve">Course syllabus — adapted from the book</w:t>
      </w:r>
    </w:p>
    <w:p>
      <w:pPr>
        <w:spacing w:after="40"/>
        <w:jc w:val="center"/>
      </w:pPr>
      <w:r>
        <w:rPr>
          <w:b/>
          <w:bCs/>
          <w:i/>
          <w:iCs/>
          <w:color w:val="33302B"/>
          <w:sz w:val="21"/>
          <w:szCs w:val="21"/>
        </w:rPr>
        <w:t xml:space="preserve">What the Structure Does Not Carry</w:t>
      </w:r>
    </w:p>
    <w:p>
      <w:pPr>
        <w:spacing w:after="260"/>
        <w:jc w:val="center"/>
      </w:pPr>
      <w:r>
        <w:rPr>
          <w:color w:val="6E6A62"/>
          <w:sz w:val="17"/>
          <w:szCs w:val="17"/>
        </w:rPr>
        <w:t xml:space="preserve">Georg Zangl  ·  Foreword by Egbert U. Imomoh  ·  2026</w:t>
      </w:r>
    </w:p>
    <w:p>
      <w:pPr>
        <w:pStyle w:val="Heading1"/>
        <w:spacing w:after="140" w:before="320"/>
      </w:pPr>
      <w:r>
        <w:rPr>
          <w:b/>
          <w:bCs/>
          <w:color w:val="33302B"/>
          <w:sz w:val="29"/>
          <w:szCs w:val="29"/>
        </w:rPr>
        <w:t xml:space="preserve">Course overview</w:t>
      </w:r>
    </w:p>
    <w:tbl>
      <w:tblPr>
        <w:tblW w:type="dxa" w:w="10080"/>
        <w:tblBorders>
          <w:top w:val="single" w:color="D6D2C9" w:sz="4"/>
          <w:left w:val="single" w:color="D6D2C9" w:sz="4"/>
          <w:bottom w:val="single" w:color="D6D2C9" w:sz="4"/>
          <w:right w:val="single" w:color="D6D2C9" w:sz="4"/>
          <w:insideH w:val="single" w:color="D6D2C9" w:sz="4"/>
          <w:insideV w:val="single" w:color="D6D2C9" w:sz="4"/>
        </w:tblBorders>
      </w:tblPr>
      <w:tblGrid>
        <w:gridCol w:w="3024"/>
        <w:gridCol w:w="7056"/>
      </w:tblGrid>
      <w:tr>
        <w:tc>
          <w:tcPr>
            <w:tcW w:type="dxa" w:w="3024"/>
            <w:shd w:fill="F4F2EE" w:color="auto" w:val="clear"/>
            <w:tcMar>
              <w:top w:type="dxa" w:w="60"/>
              <w:left w:type="dxa" w:w="90"/>
              <w:bottom w:type="dxa" w:w="60"/>
              <w:right w:type="dxa" w:w="90"/>
            </w:tcMar>
          </w:tcPr>
          <w:p>
            <w:pPr>
              <w:spacing w:after="0" w:line="250"/>
            </w:pPr>
            <w:r>
              <w:rPr>
                <w:b/>
                <w:bCs/>
                <w:color w:val="33302B"/>
                <w:sz w:val="18"/>
                <w:szCs w:val="18"/>
              </w:rPr>
              <w:t xml:space="preserve">Course code</w:t>
            </w:r>
          </w:p>
        </w:tc>
        <w:tc>
          <w:tcPr>
            <w:tcW w:type="dxa" w:w="7056"/>
            <w:shd w:fill="F4F2EE" w:color="auto" w:val="clear"/>
            <w:tcMar>
              <w:top w:type="dxa" w:w="60"/>
              <w:left w:type="dxa" w:w="90"/>
              <w:bottom w:type="dxa" w:w="60"/>
              <w:right w:type="dxa" w:w="90"/>
            </w:tcMar>
          </w:tcPr>
          <w:p>
            <w:pPr>
              <w:spacing w:after="0" w:line="250"/>
            </w:pPr>
            <w:r>
              <w:rPr>
                <w:color w:val="1B1A18"/>
                <w:sz w:val="18"/>
                <w:szCs w:val="18"/>
              </w:rPr>
              <w:t xml:space="preserve">IS 3450 (suggested)</w:t>
            </w:r>
          </w:p>
        </w:tc>
      </w:tr>
      <w:tr>
        <w:tc>
          <w:tcPr>
            <w:tcW w:type="dxa" w:w="3024"/>
            <w:shd w:fill="FFFFFF" w:color="auto" w:val="clear"/>
            <w:tcMar>
              <w:top w:type="dxa" w:w="60"/>
              <w:left w:type="dxa" w:w="90"/>
              <w:bottom w:type="dxa" w:w="60"/>
              <w:right w:type="dxa" w:w="90"/>
            </w:tcMar>
          </w:tcPr>
          <w:p>
            <w:pPr>
              <w:spacing w:after="0" w:line="250"/>
            </w:pPr>
            <w:r>
              <w:rPr>
                <w:b/>
                <w:bCs/>
                <w:color w:val="33302B"/>
                <w:sz w:val="18"/>
                <w:szCs w:val="18"/>
              </w:rPr>
              <w:t xml:space="preserve">Level</w:t>
            </w:r>
          </w:p>
        </w:tc>
        <w:tc>
          <w:tcPr>
            <w:tcW w:type="dxa" w:w="7056"/>
            <w:shd w:fill="FFFFFF" w:color="auto" w:val="clear"/>
            <w:tcMar>
              <w:top w:type="dxa" w:w="60"/>
              <w:left w:type="dxa" w:w="90"/>
              <w:bottom w:type="dxa" w:w="60"/>
              <w:right w:type="dxa" w:w="90"/>
            </w:tcMar>
          </w:tcPr>
          <w:p>
            <w:pPr>
              <w:spacing w:after="0" w:line="250"/>
            </w:pPr>
            <w:r>
              <w:rPr>
                <w:color w:val="1B1A18"/>
                <w:sz w:val="18"/>
                <w:szCs w:val="18"/>
              </w:rPr>
              <w:t xml:space="preserve">Undergraduate — Year 3 / upper division</w:t>
            </w:r>
          </w:p>
        </w:tc>
      </w:tr>
      <w:tr>
        <w:tc>
          <w:tcPr>
            <w:tcW w:type="dxa" w:w="3024"/>
            <w:shd w:fill="F4F2EE" w:color="auto" w:val="clear"/>
            <w:tcMar>
              <w:top w:type="dxa" w:w="60"/>
              <w:left w:type="dxa" w:w="90"/>
              <w:bottom w:type="dxa" w:w="60"/>
              <w:right w:type="dxa" w:w="90"/>
            </w:tcMar>
          </w:tcPr>
          <w:p>
            <w:pPr>
              <w:spacing w:after="0" w:line="250"/>
            </w:pPr>
            <w:r>
              <w:rPr>
                <w:b/>
                <w:bCs/>
                <w:color w:val="33302B"/>
                <w:sz w:val="18"/>
                <w:szCs w:val="18"/>
              </w:rPr>
              <w:t xml:space="preserve">Credits</w:t>
            </w:r>
          </w:p>
        </w:tc>
        <w:tc>
          <w:tcPr>
            <w:tcW w:type="dxa" w:w="7056"/>
            <w:shd w:fill="F4F2EE" w:color="auto" w:val="clear"/>
            <w:tcMar>
              <w:top w:type="dxa" w:w="60"/>
              <w:left w:type="dxa" w:w="90"/>
              <w:bottom w:type="dxa" w:w="60"/>
              <w:right w:type="dxa" w:w="90"/>
            </w:tcMar>
          </w:tcPr>
          <w:p>
            <w:pPr>
              <w:spacing w:after="0" w:line="250"/>
            </w:pPr>
            <w:r>
              <w:rPr>
                <w:color w:val="1B1A18"/>
                <w:sz w:val="18"/>
                <w:szCs w:val="18"/>
              </w:rPr>
              <w:t xml:space="preserve">6 ECTS  (≈ 3 U.S. semester credits)</w:t>
            </w:r>
          </w:p>
        </w:tc>
      </w:tr>
      <w:tr>
        <w:tc>
          <w:tcPr>
            <w:tcW w:type="dxa" w:w="3024"/>
            <w:shd w:fill="FFFFFF" w:color="auto" w:val="clear"/>
            <w:tcMar>
              <w:top w:type="dxa" w:w="60"/>
              <w:left w:type="dxa" w:w="90"/>
              <w:bottom w:type="dxa" w:w="60"/>
              <w:right w:type="dxa" w:w="90"/>
            </w:tcMar>
          </w:tcPr>
          <w:p>
            <w:pPr>
              <w:spacing w:after="0" w:line="250"/>
            </w:pPr>
            <w:r>
              <w:rPr>
                <w:b/>
                <w:bCs/>
                <w:color w:val="33302B"/>
                <w:sz w:val="18"/>
                <w:szCs w:val="18"/>
              </w:rPr>
              <w:t xml:space="preserve">Duration</w:t>
            </w:r>
          </w:p>
        </w:tc>
        <w:tc>
          <w:tcPr>
            <w:tcW w:type="dxa" w:w="7056"/>
            <w:shd w:fill="FFFFFF" w:color="auto" w:val="clear"/>
            <w:tcMar>
              <w:top w:type="dxa" w:w="60"/>
              <w:left w:type="dxa" w:w="90"/>
              <w:bottom w:type="dxa" w:w="60"/>
              <w:right w:type="dxa" w:w="90"/>
            </w:tcMar>
          </w:tcPr>
          <w:p>
            <w:pPr>
              <w:spacing w:after="0" w:line="250"/>
            </w:pPr>
            <w:r>
              <w:rPr>
                <w:color w:val="1B1A18"/>
                <w:sz w:val="18"/>
                <w:szCs w:val="18"/>
              </w:rPr>
              <w:t xml:space="preserve">14 weeks · one lecture (90 min) + one tutorial (60 min) per week</w:t>
            </w:r>
          </w:p>
        </w:tc>
      </w:tr>
      <w:tr>
        <w:tc>
          <w:tcPr>
            <w:tcW w:type="dxa" w:w="3024"/>
            <w:shd w:fill="F4F2EE" w:color="auto" w:val="clear"/>
            <w:tcMar>
              <w:top w:type="dxa" w:w="60"/>
              <w:left w:type="dxa" w:w="90"/>
              <w:bottom w:type="dxa" w:w="60"/>
              <w:right w:type="dxa" w:w="90"/>
            </w:tcMar>
          </w:tcPr>
          <w:p>
            <w:pPr>
              <w:spacing w:after="0" w:line="250"/>
            </w:pPr>
            <w:r>
              <w:rPr>
                <w:b/>
                <w:bCs/>
                <w:color w:val="33302B"/>
                <w:sz w:val="18"/>
                <w:szCs w:val="18"/>
              </w:rPr>
              <w:t xml:space="preserve">Format</w:t>
            </w:r>
          </w:p>
        </w:tc>
        <w:tc>
          <w:tcPr>
            <w:tcW w:type="dxa" w:w="7056"/>
            <w:shd w:fill="F4F2EE" w:color="auto" w:val="clear"/>
            <w:tcMar>
              <w:top w:type="dxa" w:w="60"/>
              <w:left w:type="dxa" w:w="90"/>
              <w:bottom w:type="dxa" w:w="60"/>
              <w:right w:type="dxa" w:w="90"/>
            </w:tcMar>
          </w:tcPr>
          <w:p>
            <w:pPr>
              <w:spacing w:after="0" w:line="250"/>
            </w:pPr>
            <w:r>
              <w:rPr>
                <w:color w:val="1B1A18"/>
                <w:sz w:val="18"/>
                <w:szCs w:val="18"/>
              </w:rPr>
              <w:t xml:space="preserve">Lectures, guided tutorials, one team project</w:t>
            </w:r>
          </w:p>
        </w:tc>
      </w:tr>
      <w:tr>
        <w:tc>
          <w:tcPr>
            <w:tcW w:type="dxa" w:w="3024"/>
            <w:shd w:fill="FFFFFF" w:color="auto" w:val="clear"/>
            <w:tcMar>
              <w:top w:type="dxa" w:w="60"/>
              <w:left w:type="dxa" w:w="90"/>
              <w:bottom w:type="dxa" w:w="60"/>
              <w:right w:type="dxa" w:w="90"/>
            </w:tcMar>
          </w:tcPr>
          <w:p>
            <w:pPr>
              <w:spacing w:after="0" w:line="250"/>
            </w:pPr>
            <w:r>
              <w:rPr>
                <w:b/>
                <w:bCs/>
                <w:color w:val="33302B"/>
                <w:sz w:val="18"/>
                <w:szCs w:val="18"/>
              </w:rPr>
              <w:t xml:space="preserve">Prerequisites</w:t>
            </w:r>
          </w:p>
        </w:tc>
        <w:tc>
          <w:tcPr>
            <w:tcW w:type="dxa" w:w="7056"/>
            <w:shd w:fill="FFFFFF" w:color="auto" w:val="clear"/>
            <w:tcMar>
              <w:top w:type="dxa" w:w="60"/>
              <w:left w:type="dxa" w:w="90"/>
              <w:bottom w:type="dxa" w:w="60"/>
              <w:right w:type="dxa" w:w="90"/>
            </w:tcMar>
          </w:tcPr>
          <w:p>
            <w:pPr>
              <w:spacing w:after="0" w:line="250"/>
            </w:pPr>
            <w:r>
              <w:rPr>
                <w:color w:val="1B1A18"/>
                <w:sz w:val="18"/>
                <w:szCs w:val="18"/>
              </w:rPr>
              <w:t xml:space="preserve">Introduction to Information Systems; one course touching databases or software; no AI background required</w:t>
            </w:r>
          </w:p>
        </w:tc>
      </w:tr>
      <w:tr>
        <w:tc>
          <w:tcPr>
            <w:tcW w:type="dxa" w:w="3024"/>
            <w:shd w:fill="F4F2EE" w:color="auto" w:val="clear"/>
            <w:tcMar>
              <w:top w:type="dxa" w:w="60"/>
              <w:left w:type="dxa" w:w="90"/>
              <w:bottom w:type="dxa" w:w="60"/>
              <w:right w:type="dxa" w:w="90"/>
            </w:tcMar>
          </w:tcPr>
          <w:p>
            <w:pPr>
              <w:spacing w:after="0" w:line="250"/>
            </w:pPr>
            <w:r>
              <w:rPr>
                <w:b/>
                <w:bCs/>
                <w:color w:val="33302B"/>
                <w:sz w:val="18"/>
                <w:szCs w:val="18"/>
              </w:rPr>
              <w:t xml:space="preserve">Instructor</w:t>
            </w:r>
          </w:p>
        </w:tc>
        <w:tc>
          <w:tcPr>
            <w:tcW w:type="dxa" w:w="7056"/>
            <w:shd w:fill="F4F2EE" w:color="auto" w:val="clear"/>
            <w:tcMar>
              <w:top w:type="dxa" w:w="60"/>
              <w:left w:type="dxa" w:w="90"/>
              <w:bottom w:type="dxa" w:w="60"/>
              <w:right w:type="dxa" w:w="90"/>
            </w:tcMar>
          </w:tcPr>
          <w:p>
            <w:pPr>
              <w:spacing w:after="0" w:line="250"/>
            </w:pPr>
            <w:r>
              <w:rPr>
                <w:color w:val="1B1A18"/>
                <w:sz w:val="18"/>
                <w:szCs w:val="18"/>
              </w:rPr>
              <w:t xml:space="preserve">[Instructor name] · [email] · Office hours: [time / location]</w:t>
            </w:r>
          </w:p>
        </w:tc>
      </w:tr>
    </w:tbl>
    <w:p>
      <w:pPr>
        <w:spacing w:after="60"/>
      </w:pPr>
    </w:p>
    <w:p>
      <w:pPr>
        <w:pStyle w:val="Heading2"/>
        <w:spacing w:after="100" w:before="240"/>
      </w:pPr>
      <w:r>
        <w:rPr>
          <w:b/>
          <w:bCs/>
          <w:color w:val="1B1A18"/>
          <w:sz w:val="23"/>
          <w:szCs w:val="23"/>
        </w:rPr>
        <w:t xml:space="preserve">About the source text</w:t>
      </w:r>
    </w:p>
    <w:p>
      <w:pPr>
        <w:spacing w:after="120" w:line="276"/>
      </w:pPr>
      <w:r>
        <w:rPr>
          <w:i/>
          <w:iCs/>
          <w:color w:val="1B1A18"/>
          <w:sz w:val="20"/>
          <w:szCs w:val="20"/>
        </w:rPr>
        <w:t xml:space="preserve">What the Structure Does Not Carry</w:t>
      </w:r>
      <w:r>
        <w:rPr>
          <w:color w:val="1B1A18"/>
          <w:sz w:val="20"/>
          <w:szCs w:val="20"/>
        </w:rPr>
        <w:t xml:space="preserve"> argues that an enterprise is not its systems but a small set of properties that must survive every boundary a piece of work crosses: </w:t>
      </w:r>
      <w:r>
        <w:rPr>
          <w:b/>
          <w:bCs/>
          <w:color w:val="1B1A18"/>
          <w:sz w:val="20"/>
          <w:szCs w:val="20"/>
        </w:rPr>
        <w:t xml:space="preserve">context, authority, accountability, coordination, execution coherence, and institutional memory</w:t>
      </w:r>
      <w:r>
        <w:rPr>
          <w:color w:val="1B1A18"/>
          <w:sz w:val="20"/>
          <w:szCs w:val="20"/>
        </w:rPr>
        <w:t xml:space="preserve">. For four decades a hidden layer of people carried those properties by hand across the gaps in every architecture diagram. Agentic AI does not create a new requirement — it withdraws that subsidy. The book states the governing law (</w:t>
      </w:r>
      <w:r>
        <w:rPr>
          <w:i/>
          <w:iCs/>
          <w:color w:val="1B1A18"/>
          <w:sz w:val="20"/>
          <w:szCs w:val="20"/>
        </w:rPr>
        <w:t xml:space="preserve">enterprise architecture is the custody of organisational properties under movement</w:t>
      </w:r>
      <w:r>
        <w:rPr>
          <w:color w:val="1B1A18"/>
          <w:sz w:val="20"/>
          <w:szCs w:val="20"/>
        </w:rPr>
        <w:t xml:space="preserve">), derives what any structure must do to satisfy it, and closes with an evaluation protocol and a set of custody rules. This course is built directly on that spine.</w:t>
      </w:r>
    </w:p>
    <w:p>
      <w:pPr>
        <w:spacing w:after="120" w:line="276"/>
      </w:pPr>
      <w:r>
        <w:rPr>
          <w:i/>
          <w:iCs/>
          <w:color w:val="6E6A62"/>
          <w:sz w:val="20"/>
          <w:szCs w:val="20"/>
        </w:rPr>
        <w:t xml:space="preserve">This bachelor's-level version keeps the mathematics of the argument light and spends extra time building intuition before introducing the formal law. No prior enterprise-architecture experience is assumed.</w:t>
      </w:r>
    </w:p>
    <w:p>
      <w:pPr>
        <w:pStyle w:val="Heading1"/>
        <w:spacing w:after="140" w:before="320"/>
      </w:pPr>
      <w:r>
        <w:rPr>
          <w:b/>
          <w:bCs/>
          <w:color w:val="33302B"/>
          <w:sz w:val="29"/>
          <w:szCs w:val="29"/>
        </w:rPr>
        <w:t xml:space="preserve">Course description</w:t>
      </w:r>
    </w:p>
    <w:p>
      <w:pPr>
        <w:spacing w:after="120" w:line="276"/>
      </w:pPr>
      <w:r>
        <w:rPr>
          <w:color w:val="1B1A18"/>
          <w:sz w:val="20"/>
          <w:szCs w:val="20"/>
        </w:rPr>
        <w:t xml:space="preserve">Every organisation runs on a diagram of boxes and arrows — systems and the data that flows between them. This course starts from what that diagram leaves out: the people who, at every arrow, quietly carry meaning, permission, and memory that no system was built to move. Students learn to see those invisible “crossings,” to name the six properties an enterprise must keep intact as work moves, and to understand why the arrival of AI agents turns a long-tolerated weakness into an urgent design problem. The course is conceptual and diagnostic rather than code-heavy: the goal is to make students fluent in a way of thinking that will outlast any particular technology.</w:t>
      </w:r>
    </w:p>
    <w:p>
      <w:pPr>
        <w:pStyle w:val="Heading1"/>
        <w:spacing w:after="140" w:before="320"/>
      </w:pPr>
      <w:r>
        <w:rPr>
          <w:b/>
          <w:bCs/>
          <w:color w:val="33302B"/>
          <w:sz w:val="29"/>
          <w:szCs w:val="29"/>
        </w:rPr>
        <w:t xml:space="preserve">Learning outcomes</w:t>
      </w:r>
    </w:p>
    <w:p>
      <w:pPr>
        <w:spacing w:after="80" w:line="276"/>
      </w:pPr>
      <w:r>
        <w:rPr>
          <w:color w:val="1B1A18"/>
          <w:sz w:val="20"/>
          <w:szCs w:val="20"/>
        </w:rPr>
        <w:t xml:space="preserve">On successful completion, participants will be able to:</w:t>
      </w:r>
    </w:p>
    <w:p>
      <w:pPr>
        <w:pStyle w:val="ListParagraph"/>
        <w:numPr>
          <w:ilvl w:val="0"/>
          <w:numId w:val="2"/>
        </w:numPr>
        <w:spacing w:after="70" w:line="268"/>
      </w:pPr>
      <w:r>
        <w:rPr>
          <w:color w:val="1B1A18"/>
          <w:sz w:val="20"/>
          <w:szCs w:val="20"/>
        </w:rPr>
        <w:t xml:space="preserve">Explain, in plain language, why an enterprise is better understood as a set of properties than as a collection of systems.</w:t>
      </w:r>
    </w:p>
    <w:p>
      <w:pPr>
        <w:pStyle w:val="ListParagraph"/>
        <w:numPr>
          <w:ilvl w:val="0"/>
          <w:numId w:val="2"/>
        </w:numPr>
        <w:spacing w:after="70" w:line="268"/>
      </w:pPr>
      <w:r>
        <w:rPr>
          <w:color w:val="1B1A18"/>
          <w:sz w:val="20"/>
          <w:szCs w:val="20"/>
        </w:rPr>
        <w:t xml:space="preserve">Identify a “crossing” in a real or described process and describe what meaning, authority, or memory is at risk of being lost there.</w:t>
      </w:r>
    </w:p>
    <w:p>
      <w:pPr>
        <w:pStyle w:val="ListParagraph"/>
        <w:numPr>
          <w:ilvl w:val="0"/>
          <w:numId w:val="2"/>
        </w:numPr>
        <w:spacing w:after="70" w:line="268"/>
      </w:pPr>
      <w:r>
        <w:rPr>
          <w:color w:val="1B1A18"/>
          <w:sz w:val="20"/>
          <w:szCs w:val="20"/>
        </w:rPr>
        <w:t xml:space="preserve">Name and define the six properties (context, authority, accountability, coordination, execution coherence, institutional memory) and recognise the characteristic failure that signals each one’s absence.</w:t>
      </w:r>
    </w:p>
    <w:p>
      <w:pPr>
        <w:pStyle w:val="ListParagraph"/>
        <w:numPr>
          <w:ilvl w:val="0"/>
          <w:numId w:val="2"/>
        </w:numPr>
        <w:spacing w:after="70" w:line="268"/>
      </w:pPr>
      <w:r>
        <w:rPr>
          <w:color w:val="1B1A18"/>
          <w:sz w:val="20"/>
          <w:szCs w:val="20"/>
        </w:rPr>
        <w:t xml:space="preserve">Summarise the four axioms of the agentic era and explain why a probabilistic model cannot be the place where a hard rule is enforced.</w:t>
      </w:r>
    </w:p>
    <w:p>
      <w:pPr>
        <w:pStyle w:val="ListParagraph"/>
        <w:numPr>
          <w:ilvl w:val="0"/>
          <w:numId w:val="2"/>
        </w:numPr>
        <w:spacing w:after="70" w:line="268"/>
      </w:pPr>
      <w:r>
        <w:rPr>
          <w:color w:val="1B1A18"/>
          <w:sz w:val="20"/>
          <w:szCs w:val="20"/>
        </w:rPr>
        <w:t xml:space="preserve">Apply a subset of the book’s “tests” to a simple scenario and argue whether a property is genuinely in custody.</w:t>
      </w:r>
    </w:p>
    <w:p>
      <w:pPr>
        <w:pStyle w:val="ListParagraph"/>
        <w:numPr>
          <w:ilvl w:val="0"/>
          <w:numId w:val="2"/>
        </w:numPr>
        <w:spacing w:after="70" w:line="268"/>
      </w:pPr>
      <w:r>
        <w:rPr>
          <w:color w:val="1B1A18"/>
          <w:sz w:val="20"/>
          <w:szCs w:val="20"/>
        </w:rPr>
        <w:t xml:space="preserve">Work in a team to map the crossings of a chosen business process and present the risks in non-technical terms.</w:t>
      </w:r>
    </w:p>
    <w:p>
      <w:pPr>
        <w:pStyle w:val="Heading1"/>
        <w:spacing w:after="140" w:before="320"/>
      </w:pPr>
      <w:r>
        <w:rPr>
          <w:b/>
          <w:bCs/>
          <w:color w:val="33302B"/>
          <w:sz w:val="29"/>
          <w:szCs w:val="29"/>
        </w:rPr>
        <w:t xml:space="preserve">Texts &amp; materials</w:t>
      </w:r>
    </w:p>
    <w:p>
      <w:pPr>
        <w:spacing w:after="120" w:line="276"/>
      </w:pPr>
      <w:r>
        <w:rPr>
          <w:b/>
          <w:bCs/>
          <w:color w:val="1B1A18"/>
          <w:sz w:val="20"/>
          <w:szCs w:val="20"/>
        </w:rPr>
        <w:t xml:space="preserve">Recommended (optional): </w:t>
      </w:r>
      <w:r>
        <w:rPr>
          <w:color w:val="1B1A18"/>
          <w:sz w:val="20"/>
          <w:szCs w:val="20"/>
        </w:rPr>
        <w:t xml:space="preserve">Georg Zangl, </w:t>
      </w:r>
      <w:r>
        <w:rPr>
          <w:i/>
          <w:iCs/>
          <w:color w:val="1B1A18"/>
          <w:sz w:val="20"/>
          <w:szCs w:val="20"/>
        </w:rPr>
        <w:t xml:space="preserve">What the Structure Does Not Carry</w:t>
      </w:r>
      <w:r>
        <w:rPr>
          <w:color w:val="1B1A18"/>
          <w:sz w:val="20"/>
          <w:szCs w:val="20"/>
        </w:rPr>
        <w:t xml:space="preserve"> (2026), foreword by Egbert U. Imomoh. The course is built on this book, but buying it is not required to take the course or to pass it. Every idea, case, and test the assessments cover is delivered in the lectures and tutorials and provided in the course handouts. The chapter references in the schedule below are for students who choose to read the book (Kindle edition ~US$2.99); they are optional enrichment and are never a prerequisite for any graded work.</w:t>
      </w:r>
    </w:p>
    <w:p>
      <w:pPr>
        <w:spacing w:after="120" w:line="276"/>
      </w:pPr>
      <w:r>
        <w:rPr>
          <w:b/>
          <w:bCs/>
          <w:color w:val="1B1A18"/>
          <w:sz w:val="20"/>
          <w:szCs w:val="20"/>
        </w:rPr>
        <w:t xml:space="preserve">Supplementary: </w:t>
      </w:r>
      <w:r>
        <w:rPr>
          <w:color w:val="1B1A18"/>
          <w:sz w:val="20"/>
          <w:szCs w:val="20"/>
        </w:rPr>
        <w:t xml:space="preserve">current regulatory texts and enforcement actions relevant to the participant’s domain (data residency, sanctions, audit); the book’s own ‘Sources and Notes’ for the documented consequence records. No vendor documentation or reference architecture is required — by design.</w:t>
      </w:r>
    </w:p>
    <w:p>
      <w:pPr>
        <w:spacing w:after="120" w:line="276"/>
      </w:pPr>
      <w:r>
        <w:rPr>
          <w:b/>
          <w:bCs/>
          <w:color w:val="1B1A18"/>
          <w:sz w:val="20"/>
          <w:szCs w:val="20"/>
        </w:rPr>
        <w:t xml:space="preserve">External evidence: </w:t>
      </w:r>
      <w:r>
        <w:rPr>
          <w:i/>
          <w:iCs/>
          <w:color w:val="1B1A18"/>
          <w:sz w:val="20"/>
          <w:szCs w:val="20"/>
        </w:rPr>
        <w:t xml:space="preserve">The 2026 Global AI in Financial Services Report</w:t>
      </w:r>
      <w:r>
        <w:rPr>
          <w:color w:val="1B1A18"/>
          <w:sz w:val="20"/>
          <w:szCs w:val="20"/>
        </w:rPr>
        <w:t xml:space="preserve"> (Cambridge Centre for Alternative Finance, University of Cambridge, April 2026; 628 organisations across 151 jurisdictions) supplies the independent adoption, risk, concentration, and measurement figures used in class. Those figures, their respondent cuts, and their session-by-session placement are held in </w:t>
      </w:r>
      <w:r>
        <w:rPr>
          <w:i/>
          <w:iCs/>
          <w:color w:val="1B1A18"/>
          <w:sz w:val="20"/>
          <w:szCs w:val="20"/>
        </w:rPr>
        <w:t xml:space="preserve">Evidence Base — External Corroboration and Teaching Figures</w:t>
      </w:r>
      <w:r>
        <w:rPr>
          <w:color w:val="1B1A18"/>
          <w:sz w:val="20"/>
          <w:szCs w:val="20"/>
        </w:rPr>
        <w:t xml:space="preserve"> (folder 8). Figures are as at April 2026 and will age; the teaching materials themselves deliberately carry none.</w:t>
      </w:r>
    </w:p>
    <w:p>
      <w:pPr>
        <w:pStyle w:val="Heading1"/>
        <w:spacing w:after="140" w:before="320"/>
      </w:pPr>
      <w:r>
        <w:rPr>
          <w:b/>
          <w:bCs/>
          <w:color w:val="33302B"/>
          <w:sz w:val="29"/>
          <w:szCs w:val="29"/>
        </w:rPr>
        <w:t xml:space="preserve">Weekly schedule</w:t>
      </w:r>
    </w:p>
    <w:p>
      <w:pPr>
        <w:spacing w:after="100" w:line="276"/>
      </w:pPr>
      <w:r>
        <w:rPr>
          <w:i/>
          <w:iCs/>
          <w:color w:val="6E6A62"/>
          <w:sz w:val="20"/>
          <w:szCs w:val="20"/>
        </w:rPr>
        <w:t xml:space="preserve">The “optional reading” column points students who own the book to the matching chapters; the lectures and tutorials cover everything the assessments require, so these readings are never mandatory. “Activity” shows the in-class focus and when deliverables are due.</w:t>
      </w:r>
    </w:p>
    <w:tbl>
      <w:tblPr>
        <w:tblW w:type="dxa" w:w="10080"/>
        <w:tblBorders>
          <w:top w:val="single" w:color="D6D2C9" w:sz="4"/>
          <w:left w:val="single" w:color="D6D2C9" w:sz="4"/>
          <w:bottom w:val="single" w:color="D6D2C9" w:sz="4"/>
          <w:right w:val="single" w:color="D6D2C9" w:sz="4"/>
          <w:insideH w:val="single" w:color="D6D2C9" w:sz="4"/>
          <w:insideV w:val="single" w:color="D6D2C9" w:sz="4"/>
        </w:tblBorders>
      </w:tblPr>
      <w:tblGrid>
        <w:gridCol w:w="806"/>
        <w:gridCol w:w="3427"/>
        <w:gridCol w:w="3024"/>
        <w:gridCol w:w="2823"/>
      </w:tblGrid>
      <w:tr>
        <w:trPr>
          <w:tblHeader/>
        </w:trPr>
        <w:tc>
          <w:tcPr>
            <w:tcW w:type="dxa" w:w="806"/>
            <w:shd w:fill="33302B" w:color="auto" w:val="clear"/>
            <w:tcMar>
              <w:top w:type="dxa" w:w="60"/>
              <w:left w:type="dxa" w:w="90"/>
              <w:bottom w:type="dxa" w:w="60"/>
              <w:right w:type="dxa" w:w="90"/>
            </w:tcMar>
          </w:tcPr>
          <w:p>
            <w:pPr>
              <w:spacing w:after="0" w:line="250"/>
              <w:jc w:val="center"/>
            </w:pPr>
            <w:r>
              <w:rPr>
                <w:b/>
                <w:bCs/>
                <w:color w:val="FFFFFF"/>
                <w:sz w:val="18"/>
                <w:szCs w:val="18"/>
              </w:rPr>
              <w:t xml:space="preserve">Wk</w:t>
            </w:r>
          </w:p>
        </w:tc>
        <w:tc>
          <w:tcPr>
            <w:tcW w:type="dxa" w:w="3427"/>
            <w:shd w:fill="33302B" w:color="auto" w:val="clear"/>
            <w:tcMar>
              <w:top w:type="dxa" w:w="60"/>
              <w:left w:type="dxa" w:w="90"/>
              <w:bottom w:type="dxa" w:w="60"/>
              <w:right w:type="dxa" w:w="90"/>
            </w:tcMar>
          </w:tcPr>
          <w:p>
            <w:pPr>
              <w:spacing w:after="0" w:line="250"/>
            </w:pPr>
            <w:r>
              <w:rPr>
                <w:b/>
                <w:bCs/>
                <w:color w:val="FFFFFF"/>
                <w:sz w:val="18"/>
                <w:szCs w:val="18"/>
              </w:rPr>
              <w:t xml:space="preserve">Topic / Session</w:t>
            </w:r>
          </w:p>
        </w:tc>
        <w:tc>
          <w:tcPr>
            <w:tcW w:type="dxa" w:w="3024"/>
            <w:shd w:fill="33302B" w:color="auto" w:val="clear"/>
            <w:tcMar>
              <w:top w:type="dxa" w:w="60"/>
              <w:left w:type="dxa" w:w="90"/>
              <w:bottom w:type="dxa" w:w="60"/>
              <w:right w:type="dxa" w:w="90"/>
            </w:tcMar>
          </w:tcPr>
          <w:p>
            <w:pPr>
              <w:spacing w:after="0" w:line="250"/>
            </w:pPr>
            <w:r>
              <w:rPr>
                <w:b/>
                <w:bCs/>
                <w:color w:val="FFFFFF"/>
                <w:sz w:val="18"/>
                <w:szCs w:val="18"/>
              </w:rPr>
              <w:t xml:space="preserve">Optional reading (book)</w:t>
            </w:r>
          </w:p>
        </w:tc>
        <w:tc>
          <w:tcPr>
            <w:tcW w:type="dxa" w:w="2823"/>
            <w:shd w:fill="33302B" w:color="auto" w:val="clear"/>
            <w:tcMar>
              <w:top w:type="dxa" w:w="60"/>
              <w:left w:type="dxa" w:w="90"/>
              <w:bottom w:type="dxa" w:w="60"/>
              <w:right w:type="dxa" w:w="90"/>
            </w:tcMar>
          </w:tcPr>
          <w:p>
            <w:pPr>
              <w:spacing w:after="0" w:line="250"/>
            </w:pPr>
            <w:r>
              <w:rPr>
                <w:b/>
                <w:bCs/>
                <w:color w:val="FFFFFF"/>
                <w:sz w:val="18"/>
                <w:szCs w:val="18"/>
              </w:rPr>
              <w:t xml:space="preserve">In-class / assignment</w:t>
            </w:r>
          </w:p>
        </w:tc>
      </w:tr>
      <w:tr>
        <w:tc>
          <w:tcPr>
            <w:tcW w:type="dxa" w:w="806"/>
            <w:shd w:fill="FFFFFF" w:color="auto" w:val="clear"/>
            <w:tcMar>
              <w:top w:type="dxa" w:w="60"/>
              <w:left w:type="dxa" w:w="90"/>
              <w:bottom w:type="dxa" w:w="60"/>
              <w:right w:type="dxa" w:w="90"/>
            </w:tcMar>
          </w:tcPr>
          <w:p>
            <w:pPr>
              <w:spacing w:after="0" w:line="250"/>
              <w:jc w:val="center"/>
            </w:pPr>
            <w:r>
              <w:rPr>
                <w:b/>
                <w:bCs/>
                <w:color w:val="33302B"/>
                <w:sz w:val="18"/>
                <w:szCs w:val="18"/>
              </w:rPr>
              <w:t xml:space="preserve">1</w:t>
            </w:r>
          </w:p>
        </w:tc>
        <w:tc>
          <w:tcPr>
            <w:tcW w:type="dxa" w:w="3427"/>
            <w:shd w:fill="FFFFFF" w:color="auto" w:val="clear"/>
            <w:tcMar>
              <w:top w:type="dxa" w:w="60"/>
              <w:left w:type="dxa" w:w="90"/>
              <w:bottom w:type="dxa" w:w="60"/>
              <w:right w:type="dxa" w:w="90"/>
            </w:tcMar>
          </w:tcPr>
          <w:p>
            <w:pPr>
              <w:spacing w:after="0" w:line="250"/>
            </w:pPr>
            <w:r>
              <w:rPr>
                <w:color w:val="1B1A18"/>
                <w:sz w:val="18"/>
                <w:szCs w:val="18"/>
              </w:rPr>
              <w:t xml:space="preserve">What an enterprise actually is (and isn’t)</w:t>
            </w:r>
          </w:p>
        </w:tc>
        <w:tc>
          <w:tcPr>
            <w:tcW w:type="dxa" w:w="3024"/>
            <w:shd w:fill="FFFFFF" w:color="auto" w:val="clear"/>
            <w:tcMar>
              <w:top w:type="dxa" w:w="60"/>
              <w:left w:type="dxa" w:w="90"/>
              <w:bottom w:type="dxa" w:w="60"/>
              <w:right w:type="dxa" w:w="90"/>
            </w:tcMar>
          </w:tcPr>
          <w:p>
            <w:pPr>
              <w:spacing w:after="0" w:line="250"/>
            </w:pPr>
            <w:r>
              <w:rPr>
                <w:color w:val="6E6A62"/>
                <w:sz w:val="18"/>
                <w:szCs w:val="18"/>
              </w:rPr>
              <w:t xml:space="preserve">Foreword; Preface</w:t>
            </w:r>
          </w:p>
        </w:tc>
        <w:tc>
          <w:tcPr>
            <w:tcW w:type="dxa" w:w="2823"/>
            <w:shd w:fill="FFFFFF" w:color="auto" w:val="clear"/>
            <w:tcMar>
              <w:top w:type="dxa" w:w="60"/>
              <w:left w:type="dxa" w:w="90"/>
              <w:bottom w:type="dxa" w:w="60"/>
              <w:right w:type="dxa" w:w="90"/>
            </w:tcMar>
          </w:tcPr>
          <w:p>
            <w:pPr>
              <w:spacing w:after="0" w:line="250"/>
            </w:pPr>
            <w:r>
              <w:rPr>
                <w:color w:val="1B1A18"/>
                <w:sz w:val="18"/>
                <w:szCs w:val="18"/>
              </w:rPr>
              <w:t xml:space="preserve">Course map; discussion: “what would break if the experts left?”</w:t>
            </w:r>
          </w:p>
        </w:tc>
      </w:tr>
      <w:tr>
        <w:tc>
          <w:tcPr>
            <w:tcW w:type="dxa" w:w="806"/>
            <w:shd w:fill="F4F2EE" w:color="auto" w:val="clear"/>
            <w:tcMar>
              <w:top w:type="dxa" w:w="60"/>
              <w:left w:type="dxa" w:w="90"/>
              <w:bottom w:type="dxa" w:w="60"/>
              <w:right w:type="dxa" w:w="90"/>
            </w:tcMar>
          </w:tcPr>
          <w:p>
            <w:pPr>
              <w:spacing w:after="0" w:line="250"/>
              <w:jc w:val="center"/>
            </w:pPr>
            <w:r>
              <w:rPr>
                <w:b/>
                <w:bCs/>
                <w:color w:val="33302B"/>
                <w:sz w:val="18"/>
                <w:szCs w:val="18"/>
              </w:rPr>
              <w:t xml:space="preserve">2</w:t>
            </w:r>
          </w:p>
        </w:tc>
        <w:tc>
          <w:tcPr>
            <w:tcW w:type="dxa" w:w="3427"/>
            <w:shd w:fill="F4F2EE" w:color="auto" w:val="clear"/>
            <w:tcMar>
              <w:top w:type="dxa" w:w="60"/>
              <w:left w:type="dxa" w:w="90"/>
              <w:bottom w:type="dxa" w:w="60"/>
              <w:right w:type="dxa" w:w="90"/>
            </w:tcMar>
          </w:tcPr>
          <w:p>
            <w:pPr>
              <w:spacing w:after="0" w:line="250"/>
            </w:pPr>
            <w:r>
              <w:rPr>
                <w:color w:val="1B1A18"/>
                <w:sz w:val="18"/>
                <w:szCs w:val="18"/>
              </w:rPr>
              <w:t xml:space="preserve">The diagram missing its most important component</w:t>
            </w:r>
          </w:p>
        </w:tc>
        <w:tc>
          <w:tcPr>
            <w:tcW w:type="dxa" w:w="3024"/>
            <w:shd w:fill="F4F2EE" w:color="auto" w:val="clear"/>
            <w:tcMar>
              <w:top w:type="dxa" w:w="60"/>
              <w:left w:type="dxa" w:w="90"/>
              <w:bottom w:type="dxa" w:w="60"/>
              <w:right w:type="dxa" w:w="90"/>
            </w:tcMar>
          </w:tcPr>
          <w:p>
            <w:pPr>
              <w:spacing w:after="0" w:line="250"/>
            </w:pPr>
            <w:r>
              <w:rPr>
                <w:color w:val="6E6A62"/>
                <w:sz w:val="18"/>
                <w:szCs w:val="18"/>
              </w:rPr>
              <w:t xml:space="preserve">Ch. 1</w:t>
            </w:r>
          </w:p>
        </w:tc>
        <w:tc>
          <w:tcPr>
            <w:tcW w:type="dxa" w:w="2823"/>
            <w:shd w:fill="F4F2EE" w:color="auto" w:val="clear"/>
            <w:tcMar>
              <w:top w:type="dxa" w:w="60"/>
              <w:left w:type="dxa" w:w="90"/>
              <w:bottom w:type="dxa" w:w="60"/>
              <w:right w:type="dxa" w:w="90"/>
            </w:tcMar>
          </w:tcPr>
          <w:p>
            <w:pPr>
              <w:spacing w:after="0" w:line="250"/>
            </w:pPr>
            <w:r>
              <w:rPr>
                <w:color w:val="1B1A18"/>
                <w:sz w:val="18"/>
                <w:szCs w:val="18"/>
              </w:rPr>
              <w:t xml:space="preserve">Tutorial: annotate a real architecture diagram; find the invisible layer</w:t>
            </w:r>
          </w:p>
        </w:tc>
      </w:tr>
      <w:tr>
        <w:tc>
          <w:tcPr>
            <w:tcW w:type="dxa" w:w="806"/>
            <w:shd w:fill="FFFFFF" w:color="auto" w:val="clear"/>
            <w:tcMar>
              <w:top w:type="dxa" w:w="60"/>
              <w:left w:type="dxa" w:w="90"/>
              <w:bottom w:type="dxa" w:w="60"/>
              <w:right w:type="dxa" w:w="90"/>
            </w:tcMar>
          </w:tcPr>
          <w:p>
            <w:pPr>
              <w:spacing w:after="0" w:line="250"/>
              <w:jc w:val="center"/>
            </w:pPr>
            <w:r>
              <w:rPr>
                <w:b/>
                <w:bCs/>
                <w:color w:val="33302B"/>
                <w:sz w:val="18"/>
                <w:szCs w:val="18"/>
              </w:rPr>
              <w:t xml:space="preserve">3</w:t>
            </w:r>
          </w:p>
        </w:tc>
        <w:tc>
          <w:tcPr>
            <w:tcW w:type="dxa" w:w="3427"/>
            <w:shd w:fill="FFFFFF" w:color="auto" w:val="clear"/>
            <w:tcMar>
              <w:top w:type="dxa" w:w="60"/>
              <w:left w:type="dxa" w:w="90"/>
              <w:bottom w:type="dxa" w:w="60"/>
              <w:right w:type="dxa" w:w="90"/>
            </w:tcMar>
          </w:tcPr>
          <w:p>
            <w:pPr>
              <w:spacing w:after="0" w:line="250"/>
            </w:pPr>
            <w:r>
              <w:rPr>
                <w:color w:val="1B1A18"/>
                <w:sz w:val="18"/>
                <w:szCs w:val="18"/>
              </w:rPr>
              <w:t xml:space="preserve">A short history: five generations of partial custody</w:t>
            </w:r>
          </w:p>
        </w:tc>
        <w:tc>
          <w:tcPr>
            <w:tcW w:type="dxa" w:w="3024"/>
            <w:shd w:fill="FFFFFF" w:color="auto" w:val="clear"/>
            <w:tcMar>
              <w:top w:type="dxa" w:w="60"/>
              <w:left w:type="dxa" w:w="90"/>
              <w:bottom w:type="dxa" w:w="60"/>
              <w:right w:type="dxa" w:w="90"/>
            </w:tcMar>
          </w:tcPr>
          <w:p>
            <w:pPr>
              <w:spacing w:after="0" w:line="250"/>
            </w:pPr>
            <w:r>
              <w:rPr>
                <w:color w:val="6E6A62"/>
                <w:sz w:val="18"/>
                <w:szCs w:val="18"/>
              </w:rPr>
              <w:t xml:space="preserve">Ch. 2</w:t>
            </w:r>
          </w:p>
        </w:tc>
        <w:tc>
          <w:tcPr>
            <w:tcW w:type="dxa" w:w="2823"/>
            <w:shd w:fill="FFFFFF" w:color="auto" w:val="clear"/>
            <w:tcMar>
              <w:top w:type="dxa" w:w="60"/>
              <w:left w:type="dxa" w:w="90"/>
              <w:bottom w:type="dxa" w:w="60"/>
              <w:right w:type="dxa" w:w="90"/>
            </w:tcMar>
          </w:tcPr>
          <w:p>
            <w:pPr>
              <w:spacing w:after="0" w:line="250"/>
            </w:pPr>
            <w:r>
              <w:rPr>
                <w:color w:val="1B1A18"/>
                <w:sz w:val="18"/>
                <w:szCs w:val="18"/>
              </w:rPr>
              <w:t xml:space="preserve">Reflection note #1 due</w:t>
            </w:r>
          </w:p>
        </w:tc>
      </w:tr>
      <w:tr>
        <w:tc>
          <w:tcPr>
            <w:tcW w:type="dxa" w:w="806"/>
            <w:shd w:fill="F4F2EE" w:color="auto" w:val="clear"/>
            <w:tcMar>
              <w:top w:type="dxa" w:w="60"/>
              <w:left w:type="dxa" w:w="90"/>
              <w:bottom w:type="dxa" w:w="60"/>
              <w:right w:type="dxa" w:w="90"/>
            </w:tcMar>
          </w:tcPr>
          <w:p>
            <w:pPr>
              <w:spacing w:after="0" w:line="250"/>
              <w:jc w:val="center"/>
            </w:pPr>
            <w:r>
              <w:rPr>
                <w:b/>
                <w:bCs/>
                <w:color w:val="33302B"/>
                <w:sz w:val="18"/>
                <w:szCs w:val="18"/>
              </w:rPr>
              <w:t xml:space="preserve">4</w:t>
            </w:r>
          </w:p>
        </w:tc>
        <w:tc>
          <w:tcPr>
            <w:tcW w:type="dxa" w:w="3427"/>
            <w:shd w:fill="F4F2EE" w:color="auto" w:val="clear"/>
            <w:tcMar>
              <w:top w:type="dxa" w:w="60"/>
              <w:left w:type="dxa" w:w="90"/>
              <w:bottom w:type="dxa" w:w="60"/>
              <w:right w:type="dxa" w:w="90"/>
            </w:tcMar>
          </w:tcPr>
          <w:p>
            <w:pPr>
              <w:spacing w:after="0" w:line="250"/>
            </w:pPr>
            <w:r>
              <w:rPr>
                <w:color w:val="1B1A18"/>
                <w:sz w:val="18"/>
                <w:szCs w:val="18"/>
              </w:rPr>
              <w:t xml:space="preserve">When the subsidy is withdrawn: why agents change things</w:t>
            </w:r>
          </w:p>
        </w:tc>
        <w:tc>
          <w:tcPr>
            <w:tcW w:type="dxa" w:w="3024"/>
            <w:shd w:fill="F4F2EE" w:color="auto" w:val="clear"/>
            <w:tcMar>
              <w:top w:type="dxa" w:w="60"/>
              <w:left w:type="dxa" w:w="90"/>
              <w:bottom w:type="dxa" w:w="60"/>
              <w:right w:type="dxa" w:w="90"/>
            </w:tcMar>
          </w:tcPr>
          <w:p>
            <w:pPr>
              <w:spacing w:after="0" w:line="250"/>
            </w:pPr>
            <w:r>
              <w:rPr>
                <w:color w:val="6E6A62"/>
                <w:sz w:val="18"/>
                <w:szCs w:val="18"/>
              </w:rPr>
              <w:t xml:space="preserve">Ch. 3</w:t>
            </w:r>
          </w:p>
        </w:tc>
        <w:tc>
          <w:tcPr>
            <w:tcW w:type="dxa" w:w="2823"/>
            <w:shd w:fill="F4F2EE" w:color="auto" w:val="clear"/>
            <w:tcMar>
              <w:top w:type="dxa" w:w="60"/>
              <w:left w:type="dxa" w:w="90"/>
              <w:bottom w:type="dxa" w:w="60"/>
              <w:right w:type="dxa" w:w="90"/>
            </w:tcMar>
          </w:tcPr>
          <w:p>
            <w:pPr>
              <w:spacing w:after="0" w:line="250"/>
            </w:pPr>
            <w:r>
              <w:rPr>
                <w:color w:val="1B1A18"/>
                <w:sz w:val="18"/>
                <w:szCs w:val="18"/>
              </w:rPr>
              <w:t xml:space="preserve">Quiz 1; case discussion</w:t>
            </w:r>
          </w:p>
        </w:tc>
      </w:tr>
      <w:tr>
        <w:tc>
          <w:tcPr>
            <w:tcW w:type="dxa" w:w="806"/>
            <w:shd w:fill="FFFFFF" w:color="auto" w:val="clear"/>
            <w:tcMar>
              <w:top w:type="dxa" w:w="60"/>
              <w:left w:type="dxa" w:w="90"/>
              <w:bottom w:type="dxa" w:w="60"/>
              <w:right w:type="dxa" w:w="90"/>
            </w:tcMar>
          </w:tcPr>
          <w:p>
            <w:pPr>
              <w:spacing w:after="0" w:line="250"/>
              <w:jc w:val="center"/>
            </w:pPr>
            <w:r>
              <w:rPr>
                <w:b/>
                <w:bCs/>
                <w:color w:val="33302B"/>
                <w:sz w:val="18"/>
                <w:szCs w:val="18"/>
              </w:rPr>
              <w:t xml:space="preserve">5</w:t>
            </w:r>
          </w:p>
        </w:tc>
        <w:tc>
          <w:tcPr>
            <w:tcW w:type="dxa" w:w="3427"/>
            <w:shd w:fill="FFFFFF" w:color="auto" w:val="clear"/>
            <w:tcMar>
              <w:top w:type="dxa" w:w="60"/>
              <w:left w:type="dxa" w:w="90"/>
              <w:bottom w:type="dxa" w:w="60"/>
              <w:right w:type="dxa" w:w="90"/>
            </w:tcMar>
          </w:tcPr>
          <w:p>
            <w:pPr>
              <w:spacing w:after="0" w:line="250"/>
            </w:pPr>
            <w:r>
              <w:rPr>
                <w:color w:val="1B1A18"/>
                <w:sz w:val="18"/>
                <w:szCs w:val="18"/>
              </w:rPr>
              <w:t xml:space="preserve">The law and the crossing</w:t>
            </w:r>
          </w:p>
        </w:tc>
        <w:tc>
          <w:tcPr>
            <w:tcW w:type="dxa" w:w="3024"/>
            <w:shd w:fill="FFFFFF" w:color="auto" w:val="clear"/>
            <w:tcMar>
              <w:top w:type="dxa" w:w="60"/>
              <w:left w:type="dxa" w:w="90"/>
              <w:bottom w:type="dxa" w:w="60"/>
              <w:right w:type="dxa" w:w="90"/>
            </w:tcMar>
          </w:tcPr>
          <w:p>
            <w:pPr>
              <w:spacing w:after="0" w:line="250"/>
            </w:pPr>
            <w:r>
              <w:rPr>
                <w:color w:val="6E6A62"/>
                <w:sz w:val="18"/>
                <w:szCs w:val="18"/>
              </w:rPr>
              <w:t xml:space="preserve">Ch. 4 (the law; the unit)</w:t>
            </w:r>
          </w:p>
        </w:tc>
        <w:tc>
          <w:tcPr>
            <w:tcW w:type="dxa" w:w="2823"/>
            <w:shd w:fill="FFFFFF" w:color="auto" w:val="clear"/>
            <w:tcMar>
              <w:top w:type="dxa" w:w="60"/>
              <w:left w:type="dxa" w:w="90"/>
              <w:bottom w:type="dxa" w:w="60"/>
              <w:right w:type="dxa" w:w="90"/>
            </w:tcMar>
          </w:tcPr>
          <w:p>
            <w:pPr>
              <w:spacing w:after="0" w:line="250"/>
            </w:pPr>
            <w:r>
              <w:rPr>
                <w:color w:val="1B1A18"/>
                <w:sz w:val="18"/>
                <w:szCs w:val="18"/>
              </w:rPr>
              <w:t xml:space="preserve">Tutorial: spotting crossings in everyday systems</w:t>
            </w:r>
          </w:p>
        </w:tc>
      </w:tr>
      <w:tr>
        <w:tc>
          <w:tcPr>
            <w:tcW w:type="dxa" w:w="806"/>
            <w:shd w:fill="F4F2EE" w:color="auto" w:val="clear"/>
            <w:tcMar>
              <w:top w:type="dxa" w:w="60"/>
              <w:left w:type="dxa" w:w="90"/>
              <w:bottom w:type="dxa" w:w="60"/>
              <w:right w:type="dxa" w:w="90"/>
            </w:tcMar>
          </w:tcPr>
          <w:p>
            <w:pPr>
              <w:spacing w:after="0" w:line="250"/>
              <w:jc w:val="center"/>
            </w:pPr>
            <w:r>
              <w:rPr>
                <w:b/>
                <w:bCs/>
                <w:color w:val="33302B"/>
                <w:sz w:val="18"/>
                <w:szCs w:val="18"/>
              </w:rPr>
              <w:t xml:space="preserve">6</w:t>
            </w:r>
          </w:p>
        </w:tc>
        <w:tc>
          <w:tcPr>
            <w:tcW w:type="dxa" w:w="3427"/>
            <w:shd w:fill="F4F2EE" w:color="auto" w:val="clear"/>
            <w:tcMar>
              <w:top w:type="dxa" w:w="60"/>
              <w:left w:type="dxa" w:w="90"/>
              <w:bottom w:type="dxa" w:w="60"/>
              <w:right w:type="dxa" w:w="90"/>
            </w:tcMar>
          </w:tcPr>
          <w:p>
            <w:pPr>
              <w:spacing w:after="0" w:line="250"/>
            </w:pPr>
            <w:r>
              <w:rPr>
                <w:color w:val="1B1A18"/>
                <w:sz w:val="18"/>
                <w:szCs w:val="18"/>
              </w:rPr>
              <w:t xml:space="preserve">The six properties, part 1: context &amp; authority</w:t>
            </w:r>
          </w:p>
        </w:tc>
        <w:tc>
          <w:tcPr>
            <w:tcW w:type="dxa" w:w="3024"/>
            <w:shd w:fill="F4F2EE" w:color="auto" w:val="clear"/>
            <w:tcMar>
              <w:top w:type="dxa" w:w="60"/>
              <w:left w:type="dxa" w:w="90"/>
              <w:bottom w:type="dxa" w:w="60"/>
              <w:right w:type="dxa" w:w="90"/>
            </w:tcMar>
          </w:tcPr>
          <w:p>
            <w:pPr>
              <w:spacing w:after="0" w:line="250"/>
            </w:pPr>
            <w:r>
              <w:rPr>
                <w:color w:val="6E6A62"/>
                <w:sz w:val="18"/>
                <w:szCs w:val="18"/>
              </w:rPr>
              <w:t xml:space="preserve">Ch. 4 (properties)</w:t>
            </w:r>
          </w:p>
        </w:tc>
        <w:tc>
          <w:tcPr>
            <w:tcW w:type="dxa" w:w="2823"/>
            <w:shd w:fill="F4F2EE" w:color="auto" w:val="clear"/>
            <w:tcMar>
              <w:top w:type="dxa" w:w="60"/>
              <w:left w:type="dxa" w:w="90"/>
              <w:bottom w:type="dxa" w:w="60"/>
              <w:right w:type="dxa" w:w="90"/>
            </w:tcMar>
          </w:tcPr>
          <w:p>
            <w:pPr>
              <w:spacing w:after="0" w:line="250"/>
            </w:pPr>
            <w:r>
              <w:rPr>
                <w:color w:val="1B1A18"/>
                <w:sz w:val="18"/>
                <w:szCs w:val="18"/>
              </w:rPr>
              <w:t xml:space="preserve">Worksheet: match failures to missing properties</w:t>
            </w:r>
          </w:p>
        </w:tc>
      </w:tr>
      <w:tr>
        <w:tc>
          <w:tcPr>
            <w:tcW w:type="dxa" w:w="806"/>
            <w:shd w:fill="FFFFFF" w:color="auto" w:val="clear"/>
            <w:tcMar>
              <w:top w:type="dxa" w:w="60"/>
              <w:left w:type="dxa" w:w="90"/>
              <w:bottom w:type="dxa" w:w="60"/>
              <w:right w:type="dxa" w:w="90"/>
            </w:tcMar>
          </w:tcPr>
          <w:p>
            <w:pPr>
              <w:spacing w:after="0" w:line="250"/>
              <w:jc w:val="center"/>
            </w:pPr>
            <w:r>
              <w:rPr>
                <w:b/>
                <w:bCs/>
                <w:color w:val="33302B"/>
                <w:sz w:val="18"/>
                <w:szCs w:val="18"/>
              </w:rPr>
              <w:t xml:space="preserve">7</w:t>
            </w:r>
          </w:p>
        </w:tc>
        <w:tc>
          <w:tcPr>
            <w:tcW w:type="dxa" w:w="3427"/>
            <w:shd w:fill="FFFFFF" w:color="auto" w:val="clear"/>
            <w:tcMar>
              <w:top w:type="dxa" w:w="60"/>
              <w:left w:type="dxa" w:w="90"/>
              <w:bottom w:type="dxa" w:w="60"/>
              <w:right w:type="dxa" w:w="90"/>
            </w:tcMar>
          </w:tcPr>
          <w:p>
            <w:pPr>
              <w:spacing w:after="0" w:line="250"/>
            </w:pPr>
            <w:r>
              <w:rPr>
                <w:color w:val="1B1A18"/>
                <w:sz w:val="18"/>
                <w:szCs w:val="18"/>
              </w:rPr>
              <w:t xml:space="preserve">The six properties, part 2: accountability, coordination, coherence, memory</w:t>
            </w:r>
          </w:p>
        </w:tc>
        <w:tc>
          <w:tcPr>
            <w:tcW w:type="dxa" w:w="3024"/>
            <w:shd w:fill="FFFFFF" w:color="auto" w:val="clear"/>
            <w:tcMar>
              <w:top w:type="dxa" w:w="60"/>
              <w:left w:type="dxa" w:w="90"/>
              <w:bottom w:type="dxa" w:w="60"/>
              <w:right w:type="dxa" w:w="90"/>
            </w:tcMar>
          </w:tcPr>
          <w:p>
            <w:pPr>
              <w:spacing w:after="0" w:line="250"/>
            </w:pPr>
            <w:r>
              <w:rPr>
                <w:color w:val="6E6A62"/>
                <w:sz w:val="18"/>
                <w:szCs w:val="18"/>
              </w:rPr>
              <w:t xml:space="preserve">Ch. 4 (properties)</w:t>
            </w:r>
          </w:p>
        </w:tc>
        <w:tc>
          <w:tcPr>
            <w:tcW w:type="dxa" w:w="2823"/>
            <w:shd w:fill="FFFFFF" w:color="auto" w:val="clear"/>
            <w:tcMar>
              <w:top w:type="dxa" w:w="60"/>
              <w:left w:type="dxa" w:w="90"/>
              <w:bottom w:type="dxa" w:w="60"/>
              <w:right w:type="dxa" w:w="90"/>
            </w:tcMar>
          </w:tcPr>
          <w:p>
            <w:pPr>
              <w:spacing w:after="0" w:line="250"/>
            </w:pPr>
            <w:r>
              <w:rPr>
                <w:color w:val="1B1A18"/>
                <w:sz w:val="18"/>
                <w:szCs w:val="18"/>
              </w:rPr>
              <w:t xml:space="preserve">Reflection note #2 due; project teams formed</w:t>
            </w:r>
          </w:p>
        </w:tc>
      </w:tr>
      <w:tr>
        <w:tc>
          <w:tcPr>
            <w:tcW w:type="dxa" w:w="806"/>
            <w:shd w:fill="F4F2EE" w:color="auto" w:val="clear"/>
            <w:tcMar>
              <w:top w:type="dxa" w:w="60"/>
              <w:left w:type="dxa" w:w="90"/>
              <w:bottom w:type="dxa" w:w="60"/>
              <w:right w:type="dxa" w:w="90"/>
            </w:tcMar>
          </w:tcPr>
          <w:p>
            <w:pPr>
              <w:spacing w:after="0" w:line="250"/>
              <w:jc w:val="center"/>
            </w:pPr>
            <w:r>
              <w:rPr>
                <w:b/>
                <w:bCs/>
                <w:color w:val="33302B"/>
                <w:sz w:val="18"/>
                <w:szCs w:val="18"/>
              </w:rPr>
              <w:t xml:space="preserve">8</w:t>
            </w:r>
          </w:p>
        </w:tc>
        <w:tc>
          <w:tcPr>
            <w:tcW w:type="dxa" w:w="3427"/>
            <w:shd w:fill="F4F2EE" w:color="auto" w:val="clear"/>
            <w:tcMar>
              <w:top w:type="dxa" w:w="60"/>
              <w:left w:type="dxa" w:w="90"/>
              <w:bottom w:type="dxa" w:w="60"/>
              <w:right w:type="dxa" w:w="90"/>
            </w:tcMar>
          </w:tcPr>
          <w:p>
            <w:pPr>
              <w:spacing w:after="0" w:line="250"/>
            </w:pPr>
            <w:r>
              <w:rPr>
                <w:color w:val="1B1A18"/>
                <w:sz w:val="18"/>
                <w:szCs w:val="18"/>
              </w:rPr>
              <w:t xml:space="preserve">The four axioms of the agentic era</w:t>
            </w:r>
          </w:p>
        </w:tc>
        <w:tc>
          <w:tcPr>
            <w:tcW w:type="dxa" w:w="3024"/>
            <w:shd w:fill="F4F2EE" w:color="auto" w:val="clear"/>
            <w:tcMar>
              <w:top w:type="dxa" w:w="60"/>
              <w:left w:type="dxa" w:w="90"/>
              <w:bottom w:type="dxa" w:w="60"/>
              <w:right w:type="dxa" w:w="90"/>
            </w:tcMar>
          </w:tcPr>
          <w:p>
            <w:pPr>
              <w:spacing w:after="0" w:line="250"/>
            </w:pPr>
            <w:r>
              <w:rPr>
                <w:color w:val="6E6A62"/>
                <w:sz w:val="18"/>
                <w:szCs w:val="18"/>
              </w:rPr>
              <w:t xml:space="preserve">Ch. 5</w:t>
            </w:r>
          </w:p>
        </w:tc>
        <w:tc>
          <w:tcPr>
            <w:tcW w:type="dxa" w:w="2823"/>
            <w:shd w:fill="F4F2EE" w:color="auto" w:val="clear"/>
            <w:tcMar>
              <w:top w:type="dxa" w:w="60"/>
              <w:left w:type="dxa" w:w="90"/>
              <w:bottom w:type="dxa" w:w="60"/>
              <w:right w:type="dxa" w:w="90"/>
            </w:tcMar>
          </w:tcPr>
          <w:p>
            <w:pPr>
              <w:spacing w:after="0" w:line="250"/>
            </w:pPr>
            <w:r>
              <w:rPr>
                <w:color w:val="1B1A18"/>
                <w:sz w:val="18"/>
                <w:szCs w:val="18"/>
              </w:rPr>
              <w:t xml:space="preserve">Midterm exam</w:t>
            </w:r>
          </w:p>
        </w:tc>
      </w:tr>
      <w:tr>
        <w:tc>
          <w:tcPr>
            <w:tcW w:type="dxa" w:w="806"/>
            <w:shd w:fill="FFFFFF" w:color="auto" w:val="clear"/>
            <w:tcMar>
              <w:top w:type="dxa" w:w="60"/>
              <w:left w:type="dxa" w:w="90"/>
              <w:bottom w:type="dxa" w:w="60"/>
              <w:right w:type="dxa" w:w="90"/>
            </w:tcMar>
          </w:tcPr>
          <w:p>
            <w:pPr>
              <w:spacing w:after="0" w:line="250"/>
              <w:jc w:val="center"/>
            </w:pPr>
            <w:r>
              <w:rPr>
                <w:b/>
                <w:bCs/>
                <w:color w:val="33302B"/>
                <w:sz w:val="18"/>
                <w:szCs w:val="18"/>
              </w:rPr>
              <w:t xml:space="preserve">9</w:t>
            </w:r>
          </w:p>
        </w:tc>
        <w:tc>
          <w:tcPr>
            <w:tcW w:type="dxa" w:w="3427"/>
            <w:shd w:fill="FFFFFF" w:color="auto" w:val="clear"/>
            <w:tcMar>
              <w:top w:type="dxa" w:w="60"/>
              <w:left w:type="dxa" w:w="90"/>
              <w:bottom w:type="dxa" w:w="60"/>
              <w:right w:type="dxa" w:w="90"/>
            </w:tcMar>
          </w:tcPr>
          <w:p>
            <w:pPr>
              <w:spacing w:after="0" w:line="250"/>
            </w:pPr>
            <w:r>
              <w:rPr>
                <w:color w:val="1B1A18"/>
                <w:sz w:val="18"/>
                <w:szCs w:val="18"/>
              </w:rPr>
              <w:t xml:space="preserve">Structure holds, content moves: the preservation principle</w:t>
            </w:r>
          </w:p>
        </w:tc>
        <w:tc>
          <w:tcPr>
            <w:tcW w:type="dxa" w:w="3024"/>
            <w:shd w:fill="FFFFFF" w:color="auto" w:val="clear"/>
            <w:tcMar>
              <w:top w:type="dxa" w:w="60"/>
              <w:left w:type="dxa" w:w="90"/>
              <w:bottom w:type="dxa" w:w="60"/>
              <w:right w:type="dxa" w:w="90"/>
            </w:tcMar>
          </w:tcPr>
          <w:p>
            <w:pPr>
              <w:spacing w:after="0" w:line="250"/>
            </w:pPr>
            <w:r>
              <w:rPr>
                <w:color w:val="6E6A62"/>
                <w:sz w:val="18"/>
                <w:szCs w:val="18"/>
              </w:rPr>
              <w:t xml:space="preserve">Ch. 6; Interlude</w:t>
            </w:r>
          </w:p>
        </w:tc>
        <w:tc>
          <w:tcPr>
            <w:tcW w:type="dxa" w:w="2823"/>
            <w:shd w:fill="FFFFFF" w:color="auto" w:val="clear"/>
            <w:tcMar>
              <w:top w:type="dxa" w:w="60"/>
              <w:left w:type="dxa" w:w="90"/>
              <w:bottom w:type="dxa" w:w="60"/>
              <w:right w:type="dxa" w:w="90"/>
            </w:tcMar>
          </w:tcPr>
          <w:p>
            <w:pPr>
              <w:spacing w:after="0" w:line="250"/>
            </w:pPr>
            <w:r>
              <w:rPr>
                <w:color w:val="1B1A18"/>
                <w:sz w:val="18"/>
                <w:szCs w:val="18"/>
              </w:rPr>
              <w:t xml:space="preserve">Tutorial: worked crossing, both ways</w:t>
            </w:r>
          </w:p>
        </w:tc>
      </w:tr>
      <w:tr>
        <w:tc>
          <w:tcPr>
            <w:tcW w:type="dxa" w:w="806"/>
            <w:shd w:fill="F4F2EE" w:color="auto" w:val="clear"/>
            <w:tcMar>
              <w:top w:type="dxa" w:w="60"/>
              <w:left w:type="dxa" w:w="90"/>
              <w:bottom w:type="dxa" w:w="60"/>
              <w:right w:type="dxa" w:w="90"/>
            </w:tcMar>
          </w:tcPr>
          <w:p>
            <w:pPr>
              <w:spacing w:after="0" w:line="250"/>
              <w:jc w:val="center"/>
            </w:pPr>
            <w:r>
              <w:rPr>
                <w:b/>
                <w:bCs/>
                <w:color w:val="33302B"/>
                <w:sz w:val="18"/>
                <w:szCs w:val="18"/>
              </w:rPr>
              <w:t xml:space="preserve">10</w:t>
            </w:r>
          </w:p>
        </w:tc>
        <w:tc>
          <w:tcPr>
            <w:tcW w:type="dxa" w:w="3427"/>
            <w:shd w:fill="F4F2EE" w:color="auto" w:val="clear"/>
            <w:tcMar>
              <w:top w:type="dxa" w:w="60"/>
              <w:left w:type="dxa" w:w="90"/>
              <w:bottom w:type="dxa" w:w="60"/>
              <w:right w:type="dxa" w:w="90"/>
            </w:tcMar>
          </w:tcPr>
          <w:p>
            <w:pPr>
              <w:spacing w:after="0" w:line="250"/>
            </w:pPr>
            <w:r>
              <w:rPr>
                <w:color w:val="1B1A18"/>
                <w:sz w:val="18"/>
                <w:szCs w:val="18"/>
              </w:rPr>
              <w:t xml:space="preserve">From tools to participants; identity as data</w:t>
            </w:r>
          </w:p>
        </w:tc>
        <w:tc>
          <w:tcPr>
            <w:tcW w:type="dxa" w:w="3024"/>
            <w:shd w:fill="F4F2EE" w:color="auto" w:val="clear"/>
            <w:tcMar>
              <w:top w:type="dxa" w:w="60"/>
              <w:left w:type="dxa" w:w="90"/>
              <w:bottom w:type="dxa" w:w="60"/>
              <w:right w:type="dxa" w:w="90"/>
            </w:tcMar>
          </w:tcPr>
          <w:p>
            <w:pPr>
              <w:spacing w:after="0" w:line="250"/>
            </w:pPr>
            <w:r>
              <w:rPr>
                <w:color w:val="6E6A62"/>
                <w:sz w:val="18"/>
                <w:szCs w:val="18"/>
              </w:rPr>
              <w:t xml:space="preserve">Ch. 7–8</w:t>
            </w:r>
          </w:p>
        </w:tc>
        <w:tc>
          <w:tcPr>
            <w:tcW w:type="dxa" w:w="2823"/>
            <w:shd w:fill="F4F2EE" w:color="auto" w:val="clear"/>
            <w:tcMar>
              <w:top w:type="dxa" w:w="60"/>
              <w:left w:type="dxa" w:w="90"/>
              <w:bottom w:type="dxa" w:w="60"/>
              <w:right w:type="dxa" w:w="90"/>
            </w:tcMar>
          </w:tcPr>
          <w:p>
            <w:pPr>
              <w:spacing w:after="0" w:line="250"/>
            </w:pPr>
            <w:r>
              <w:rPr>
                <w:color w:val="1B1A18"/>
                <w:sz w:val="18"/>
                <w:szCs w:val="18"/>
              </w:rPr>
              <w:t xml:space="preserve">Quiz 2; project check-in #1</w:t>
            </w:r>
          </w:p>
        </w:tc>
      </w:tr>
      <w:tr>
        <w:tc>
          <w:tcPr>
            <w:tcW w:type="dxa" w:w="806"/>
            <w:shd w:fill="FFFFFF" w:color="auto" w:val="clear"/>
            <w:tcMar>
              <w:top w:type="dxa" w:w="60"/>
              <w:left w:type="dxa" w:w="90"/>
              <w:bottom w:type="dxa" w:w="60"/>
              <w:right w:type="dxa" w:w="90"/>
            </w:tcMar>
          </w:tcPr>
          <w:p>
            <w:pPr>
              <w:spacing w:after="0" w:line="250"/>
              <w:jc w:val="center"/>
            </w:pPr>
            <w:r>
              <w:rPr>
                <w:b/>
                <w:bCs/>
                <w:color w:val="33302B"/>
                <w:sz w:val="18"/>
                <w:szCs w:val="18"/>
              </w:rPr>
              <w:t xml:space="preserve">11</w:t>
            </w:r>
          </w:p>
        </w:tc>
        <w:tc>
          <w:tcPr>
            <w:tcW w:type="dxa" w:w="3427"/>
            <w:shd w:fill="FFFFFF" w:color="auto" w:val="clear"/>
            <w:tcMar>
              <w:top w:type="dxa" w:w="60"/>
              <w:left w:type="dxa" w:w="90"/>
              <w:bottom w:type="dxa" w:w="60"/>
              <w:right w:type="dxa" w:w="90"/>
            </w:tcMar>
          </w:tcPr>
          <w:p>
            <w:pPr>
              <w:spacing w:after="0" w:line="250"/>
            </w:pPr>
            <w:r>
              <w:rPr>
                <w:color w:val="1B1A18"/>
                <w:sz w:val="18"/>
                <w:szCs w:val="18"/>
              </w:rPr>
              <w:t xml:space="preserve">Keeping the rule out of the model; trust at the seams</w:t>
            </w:r>
          </w:p>
        </w:tc>
        <w:tc>
          <w:tcPr>
            <w:tcW w:type="dxa" w:w="3024"/>
            <w:shd w:fill="FFFFFF" w:color="auto" w:val="clear"/>
            <w:tcMar>
              <w:top w:type="dxa" w:w="60"/>
              <w:left w:type="dxa" w:w="90"/>
              <w:bottom w:type="dxa" w:w="60"/>
              <w:right w:type="dxa" w:w="90"/>
            </w:tcMar>
          </w:tcPr>
          <w:p>
            <w:pPr>
              <w:spacing w:after="0" w:line="250"/>
            </w:pPr>
            <w:r>
              <w:rPr>
                <w:color w:val="6E6A62"/>
                <w:sz w:val="18"/>
                <w:szCs w:val="18"/>
              </w:rPr>
              <w:t xml:space="preserve">Ch. 9–10</w:t>
            </w:r>
          </w:p>
        </w:tc>
        <w:tc>
          <w:tcPr>
            <w:tcW w:type="dxa" w:w="2823"/>
            <w:shd w:fill="FFFFFF" w:color="auto" w:val="clear"/>
            <w:tcMar>
              <w:top w:type="dxa" w:w="60"/>
              <w:left w:type="dxa" w:w="90"/>
              <w:bottom w:type="dxa" w:w="60"/>
              <w:right w:type="dxa" w:w="90"/>
            </w:tcMar>
          </w:tcPr>
          <w:p>
            <w:pPr>
              <w:spacing w:after="0" w:line="250"/>
            </w:pPr>
            <w:r>
              <w:rPr>
                <w:color w:val="1B1A18"/>
                <w:sz w:val="18"/>
                <w:szCs w:val="18"/>
              </w:rPr>
              <w:t xml:space="preserve">Discussion: “a system prompt is a request”</w:t>
            </w:r>
          </w:p>
        </w:tc>
      </w:tr>
      <w:tr>
        <w:tc>
          <w:tcPr>
            <w:tcW w:type="dxa" w:w="806"/>
            <w:shd w:fill="F4F2EE" w:color="auto" w:val="clear"/>
            <w:tcMar>
              <w:top w:type="dxa" w:w="60"/>
              <w:left w:type="dxa" w:w="90"/>
              <w:bottom w:type="dxa" w:w="60"/>
              <w:right w:type="dxa" w:w="90"/>
            </w:tcMar>
          </w:tcPr>
          <w:p>
            <w:pPr>
              <w:spacing w:after="0" w:line="250"/>
              <w:jc w:val="center"/>
            </w:pPr>
            <w:r>
              <w:rPr>
                <w:b/>
                <w:bCs/>
                <w:color w:val="33302B"/>
                <w:sz w:val="18"/>
                <w:szCs w:val="18"/>
              </w:rPr>
              <w:t xml:space="preserve">12</w:t>
            </w:r>
          </w:p>
        </w:tc>
        <w:tc>
          <w:tcPr>
            <w:tcW w:type="dxa" w:w="3427"/>
            <w:shd w:fill="F4F2EE" w:color="auto" w:val="clear"/>
            <w:tcMar>
              <w:top w:type="dxa" w:w="60"/>
              <w:left w:type="dxa" w:w="90"/>
              <w:bottom w:type="dxa" w:w="60"/>
              <w:right w:type="dxa" w:w="90"/>
            </w:tcMar>
          </w:tcPr>
          <w:p>
            <w:pPr>
              <w:spacing w:after="0" w:line="250"/>
            </w:pPr>
            <w:r>
              <w:rPr>
                <w:color w:val="1B1A18"/>
                <w:sz w:val="18"/>
                <w:szCs w:val="18"/>
              </w:rPr>
              <w:t xml:space="preserve">Meaning and memory: context, stores, ceremony, attack</w:t>
            </w:r>
          </w:p>
        </w:tc>
        <w:tc>
          <w:tcPr>
            <w:tcW w:type="dxa" w:w="3024"/>
            <w:shd w:fill="F4F2EE" w:color="auto" w:val="clear"/>
            <w:tcMar>
              <w:top w:type="dxa" w:w="60"/>
              <w:left w:type="dxa" w:w="90"/>
              <w:bottom w:type="dxa" w:w="60"/>
              <w:right w:type="dxa" w:w="90"/>
            </w:tcMar>
          </w:tcPr>
          <w:p>
            <w:pPr>
              <w:spacing w:after="0" w:line="250"/>
            </w:pPr>
            <w:r>
              <w:rPr>
                <w:color w:val="6E6A62"/>
                <w:sz w:val="18"/>
                <w:szCs w:val="18"/>
              </w:rPr>
              <w:t xml:space="preserve">Ch. 12–15 (survey)</w:t>
            </w:r>
          </w:p>
        </w:tc>
        <w:tc>
          <w:tcPr>
            <w:tcW w:type="dxa" w:w="2823"/>
            <w:shd w:fill="F4F2EE" w:color="auto" w:val="clear"/>
            <w:tcMar>
              <w:top w:type="dxa" w:w="60"/>
              <w:left w:type="dxa" w:w="90"/>
              <w:bottom w:type="dxa" w:w="60"/>
              <w:right w:type="dxa" w:w="90"/>
            </w:tcMar>
          </w:tcPr>
          <w:p>
            <w:pPr>
              <w:spacing w:after="0" w:line="250"/>
            </w:pPr>
            <w:r>
              <w:rPr>
                <w:color w:val="1B1A18"/>
                <w:sz w:val="18"/>
                <w:szCs w:val="18"/>
              </w:rPr>
              <w:t xml:space="preserve">Project check-in #2</w:t>
            </w:r>
          </w:p>
        </w:tc>
      </w:tr>
      <w:tr>
        <w:tc>
          <w:tcPr>
            <w:tcW w:type="dxa" w:w="806"/>
            <w:shd w:fill="FFFFFF" w:color="auto" w:val="clear"/>
            <w:tcMar>
              <w:top w:type="dxa" w:w="60"/>
              <w:left w:type="dxa" w:w="90"/>
              <w:bottom w:type="dxa" w:w="60"/>
              <w:right w:type="dxa" w:w="90"/>
            </w:tcMar>
          </w:tcPr>
          <w:p>
            <w:pPr>
              <w:spacing w:after="0" w:line="250"/>
              <w:jc w:val="center"/>
            </w:pPr>
            <w:r>
              <w:rPr>
                <w:b/>
                <w:bCs/>
                <w:color w:val="33302B"/>
                <w:sz w:val="18"/>
                <w:szCs w:val="18"/>
              </w:rPr>
              <w:t xml:space="preserve">13</w:t>
            </w:r>
          </w:p>
        </w:tc>
        <w:tc>
          <w:tcPr>
            <w:tcW w:type="dxa" w:w="3427"/>
            <w:shd w:fill="FFFFFF" w:color="auto" w:val="clear"/>
            <w:tcMar>
              <w:top w:type="dxa" w:w="60"/>
              <w:left w:type="dxa" w:w="90"/>
              <w:bottom w:type="dxa" w:w="60"/>
              <w:right w:type="dxa" w:w="90"/>
            </w:tcMar>
          </w:tcPr>
          <w:p>
            <w:pPr>
              <w:spacing w:after="0" w:line="250"/>
            </w:pPr>
            <w:r>
              <w:rPr>
                <w:color w:val="1B1A18"/>
                <w:sz w:val="18"/>
                <w:szCs w:val="18"/>
              </w:rPr>
              <w:t xml:space="preserve">Why it matters to leaders: sovereignty, cost, infrastructure</w:t>
            </w:r>
          </w:p>
        </w:tc>
        <w:tc>
          <w:tcPr>
            <w:tcW w:type="dxa" w:w="3024"/>
            <w:shd w:fill="FFFFFF" w:color="auto" w:val="clear"/>
            <w:tcMar>
              <w:top w:type="dxa" w:w="60"/>
              <w:left w:type="dxa" w:w="90"/>
              <w:bottom w:type="dxa" w:w="60"/>
              <w:right w:type="dxa" w:w="90"/>
            </w:tcMar>
          </w:tcPr>
          <w:p>
            <w:pPr>
              <w:spacing w:after="0" w:line="250"/>
            </w:pPr>
            <w:r>
              <w:rPr>
                <w:color w:val="6E6A62"/>
                <w:sz w:val="18"/>
                <w:szCs w:val="18"/>
              </w:rPr>
              <w:t xml:space="preserve">Ch. 17, 19, 20 (survey)</w:t>
            </w:r>
          </w:p>
        </w:tc>
        <w:tc>
          <w:tcPr>
            <w:tcW w:type="dxa" w:w="2823"/>
            <w:shd w:fill="FFFFFF" w:color="auto" w:val="clear"/>
            <w:tcMar>
              <w:top w:type="dxa" w:w="60"/>
              <w:left w:type="dxa" w:w="90"/>
              <w:bottom w:type="dxa" w:w="60"/>
              <w:right w:type="dxa" w:w="90"/>
            </w:tcMar>
          </w:tcPr>
          <w:p>
            <w:pPr>
              <w:spacing w:after="0" w:line="250"/>
            </w:pPr>
            <w:r>
              <w:rPr>
                <w:color w:val="1B1A18"/>
                <w:sz w:val="18"/>
                <w:szCs w:val="18"/>
              </w:rPr>
              <w:t xml:space="preserve">Reflection note #3 due</w:t>
            </w:r>
          </w:p>
        </w:tc>
      </w:tr>
      <w:tr>
        <w:tc>
          <w:tcPr>
            <w:tcW w:type="dxa" w:w="806"/>
            <w:shd w:fill="F4F2EE" w:color="auto" w:val="clear"/>
            <w:tcMar>
              <w:top w:type="dxa" w:w="60"/>
              <w:left w:type="dxa" w:w="90"/>
              <w:bottom w:type="dxa" w:w="60"/>
              <w:right w:type="dxa" w:w="90"/>
            </w:tcMar>
          </w:tcPr>
          <w:p>
            <w:pPr>
              <w:spacing w:after="0" w:line="250"/>
              <w:jc w:val="center"/>
            </w:pPr>
            <w:r>
              <w:rPr>
                <w:b/>
                <w:bCs/>
                <w:color w:val="33302B"/>
                <w:sz w:val="18"/>
                <w:szCs w:val="18"/>
              </w:rPr>
              <w:t xml:space="preserve">14</w:t>
            </w:r>
          </w:p>
        </w:tc>
        <w:tc>
          <w:tcPr>
            <w:tcW w:type="dxa" w:w="3427"/>
            <w:shd w:fill="F4F2EE" w:color="auto" w:val="clear"/>
            <w:tcMar>
              <w:top w:type="dxa" w:w="60"/>
              <w:left w:type="dxa" w:w="90"/>
              <w:bottom w:type="dxa" w:w="60"/>
              <w:right w:type="dxa" w:w="90"/>
            </w:tcMar>
          </w:tcPr>
          <w:p>
            <w:pPr>
              <w:spacing w:after="0" w:line="250"/>
            </w:pPr>
            <w:r>
              <w:rPr>
                <w:color w:val="1B1A18"/>
                <w:sz w:val="18"/>
                <w:szCs w:val="18"/>
              </w:rPr>
              <w:t xml:space="preserve">Judging the real thing: the tests and the custody rules</w:t>
            </w:r>
          </w:p>
        </w:tc>
        <w:tc>
          <w:tcPr>
            <w:tcW w:type="dxa" w:w="3024"/>
            <w:shd w:fill="F4F2EE" w:color="auto" w:val="clear"/>
            <w:tcMar>
              <w:top w:type="dxa" w:w="60"/>
              <w:left w:type="dxa" w:w="90"/>
              <w:bottom w:type="dxa" w:w="60"/>
              <w:right w:type="dxa" w:w="90"/>
            </w:tcMar>
          </w:tcPr>
          <w:p>
            <w:pPr>
              <w:spacing w:after="0" w:line="250"/>
            </w:pPr>
            <w:r>
              <w:rPr>
                <w:color w:val="6E6A62"/>
                <w:sz w:val="18"/>
                <w:szCs w:val="18"/>
              </w:rPr>
              <w:t xml:space="preserve">Ch. 22–23</w:t>
            </w:r>
          </w:p>
        </w:tc>
        <w:tc>
          <w:tcPr>
            <w:tcW w:type="dxa" w:w="2823"/>
            <w:shd w:fill="F4F2EE" w:color="auto" w:val="clear"/>
            <w:tcMar>
              <w:top w:type="dxa" w:w="60"/>
              <w:left w:type="dxa" w:w="90"/>
              <w:bottom w:type="dxa" w:w="60"/>
              <w:right w:type="dxa" w:w="90"/>
            </w:tcMar>
          </w:tcPr>
          <w:p>
            <w:pPr>
              <w:spacing w:after="0" w:line="250"/>
            </w:pPr>
            <w:r>
              <w:rPr>
                <w:color w:val="1B1A18"/>
                <w:sz w:val="18"/>
                <w:szCs w:val="18"/>
              </w:rPr>
              <w:t xml:space="preserve">Team project presentations; exam review</w:t>
            </w:r>
          </w:p>
        </w:tc>
      </w:tr>
    </w:tbl>
    <w:p>
      <w:r>
        <w:br w:type="page"/>
      </w:r>
    </w:p>
    <w:p>
      <w:pPr>
        <w:pStyle w:val="Heading1"/>
        <w:spacing w:after="140" w:before="320"/>
      </w:pPr>
      <w:r>
        <w:rPr>
          <w:b/>
          <w:bCs/>
          <w:color w:val="33302B"/>
          <w:sz w:val="29"/>
          <w:szCs w:val="29"/>
        </w:rPr>
        <w:t xml:space="preserve">Assessment &amp; grading</w:t>
      </w:r>
    </w:p>
    <w:tbl>
      <w:tblPr>
        <w:tblW w:type="dxa" w:w="10080"/>
        <w:tblBorders>
          <w:top w:val="single" w:color="D6D2C9" w:sz="4"/>
          <w:left w:val="single" w:color="D6D2C9" w:sz="4"/>
          <w:bottom w:val="single" w:color="D6D2C9" w:sz="4"/>
          <w:right w:val="single" w:color="D6D2C9" w:sz="4"/>
          <w:insideH w:val="single" w:color="D6D2C9" w:sz="4"/>
          <w:insideV w:val="single" w:color="D6D2C9" w:sz="4"/>
        </w:tblBorders>
      </w:tblPr>
      <w:tblGrid>
        <w:gridCol w:w="7258"/>
        <w:gridCol w:w="2822"/>
      </w:tblGrid>
      <w:tr>
        <w:trPr>
          <w:tblHeader/>
        </w:trPr>
        <w:tc>
          <w:tcPr>
            <w:tcW w:type="dxa" w:w="7258"/>
            <w:shd w:fill="33302B" w:color="auto" w:val="clear"/>
            <w:tcMar>
              <w:top w:type="dxa" w:w="60"/>
              <w:left w:type="dxa" w:w="90"/>
              <w:bottom w:type="dxa" w:w="60"/>
              <w:right w:type="dxa" w:w="90"/>
            </w:tcMar>
          </w:tcPr>
          <w:p>
            <w:pPr>
              <w:spacing w:after="0" w:line="250"/>
            </w:pPr>
            <w:r>
              <w:rPr>
                <w:b/>
                <w:bCs/>
                <w:color w:val="FFFFFF"/>
                <w:sz w:val="18"/>
                <w:szCs w:val="18"/>
              </w:rPr>
              <w:t xml:space="preserve">Assessment component</w:t>
            </w:r>
          </w:p>
        </w:tc>
        <w:tc>
          <w:tcPr>
            <w:tcW w:type="dxa" w:w="2822"/>
            <w:shd w:fill="33302B" w:color="auto" w:val="clear"/>
            <w:tcMar>
              <w:top w:type="dxa" w:w="60"/>
              <w:left w:type="dxa" w:w="90"/>
              <w:bottom w:type="dxa" w:w="60"/>
              <w:right w:type="dxa" w:w="90"/>
            </w:tcMar>
          </w:tcPr>
          <w:p>
            <w:pPr>
              <w:spacing w:after="0" w:line="250"/>
              <w:jc w:val="center"/>
            </w:pPr>
            <w:r>
              <w:rPr>
                <w:b/>
                <w:bCs/>
                <w:color w:val="FFFFFF"/>
                <w:sz w:val="18"/>
                <w:szCs w:val="18"/>
              </w:rPr>
              <w:t xml:space="preserve">Weight</w:t>
            </w:r>
          </w:p>
        </w:tc>
      </w:tr>
      <w:tr>
        <w:tc>
          <w:tcPr>
            <w:tcW w:type="dxa" w:w="7258"/>
            <w:shd w:fill="FFFFFF" w:color="auto" w:val="clear"/>
            <w:tcMar>
              <w:top w:type="dxa" w:w="60"/>
              <w:left w:type="dxa" w:w="90"/>
              <w:bottom w:type="dxa" w:w="60"/>
              <w:right w:type="dxa" w:w="90"/>
            </w:tcMar>
          </w:tcPr>
          <w:p>
            <w:pPr>
              <w:spacing w:after="0" w:line="250"/>
            </w:pPr>
            <w:r>
              <w:rPr>
                <w:color w:val="1B1A18"/>
                <w:sz w:val="18"/>
                <w:szCs w:val="18"/>
              </w:rPr>
              <w:t xml:space="preserve">Participation &amp; three short reflection notes</w:t>
            </w:r>
          </w:p>
        </w:tc>
        <w:tc>
          <w:tcPr>
            <w:tcW w:type="dxa" w:w="2822"/>
            <w:shd w:fill="FFFFFF" w:color="auto" w:val="clear"/>
            <w:tcMar>
              <w:top w:type="dxa" w:w="60"/>
              <w:left w:type="dxa" w:w="90"/>
              <w:bottom w:type="dxa" w:w="60"/>
              <w:right w:type="dxa" w:w="90"/>
            </w:tcMar>
          </w:tcPr>
          <w:p>
            <w:pPr>
              <w:spacing w:after="0" w:line="250"/>
              <w:jc w:val="center"/>
            </w:pPr>
            <w:r>
              <w:rPr>
                <w:b/>
                <w:bCs/>
                <w:color w:val="33302B"/>
                <w:sz w:val="18"/>
                <w:szCs w:val="18"/>
              </w:rPr>
              <w:t xml:space="preserve">15%</w:t>
            </w:r>
          </w:p>
        </w:tc>
      </w:tr>
      <w:tr>
        <w:tc>
          <w:tcPr>
            <w:tcW w:type="dxa" w:w="7258"/>
            <w:shd w:fill="F4F2EE" w:color="auto" w:val="clear"/>
            <w:tcMar>
              <w:top w:type="dxa" w:w="60"/>
              <w:left w:type="dxa" w:w="90"/>
              <w:bottom w:type="dxa" w:w="60"/>
              <w:right w:type="dxa" w:w="90"/>
            </w:tcMar>
          </w:tcPr>
          <w:p>
            <w:pPr>
              <w:spacing w:after="0" w:line="250"/>
            </w:pPr>
            <w:r>
              <w:rPr>
                <w:color w:val="1B1A18"/>
                <w:sz w:val="18"/>
                <w:szCs w:val="18"/>
              </w:rPr>
              <w:t xml:space="preserve">Two quizzes</w:t>
            </w:r>
          </w:p>
        </w:tc>
        <w:tc>
          <w:tcPr>
            <w:tcW w:type="dxa" w:w="2822"/>
            <w:shd w:fill="F4F2EE" w:color="auto" w:val="clear"/>
            <w:tcMar>
              <w:top w:type="dxa" w:w="60"/>
              <w:left w:type="dxa" w:w="90"/>
              <w:bottom w:type="dxa" w:w="60"/>
              <w:right w:type="dxa" w:w="90"/>
            </w:tcMar>
          </w:tcPr>
          <w:p>
            <w:pPr>
              <w:spacing w:after="0" w:line="250"/>
              <w:jc w:val="center"/>
            </w:pPr>
            <w:r>
              <w:rPr>
                <w:b/>
                <w:bCs/>
                <w:color w:val="33302B"/>
                <w:sz w:val="18"/>
                <w:szCs w:val="18"/>
              </w:rPr>
              <w:t xml:space="preserve">15%</w:t>
            </w:r>
          </w:p>
        </w:tc>
      </w:tr>
      <w:tr>
        <w:tc>
          <w:tcPr>
            <w:tcW w:type="dxa" w:w="7258"/>
            <w:shd w:fill="FFFFFF" w:color="auto" w:val="clear"/>
            <w:tcMar>
              <w:top w:type="dxa" w:w="60"/>
              <w:left w:type="dxa" w:w="90"/>
              <w:bottom w:type="dxa" w:w="60"/>
              <w:right w:type="dxa" w:w="90"/>
            </w:tcMar>
          </w:tcPr>
          <w:p>
            <w:pPr>
              <w:spacing w:after="0" w:line="250"/>
            </w:pPr>
            <w:r>
              <w:rPr>
                <w:color w:val="1B1A18"/>
                <w:sz w:val="18"/>
                <w:szCs w:val="18"/>
              </w:rPr>
              <w:t xml:space="preserve">Midterm exam (Week 8)</w:t>
            </w:r>
          </w:p>
        </w:tc>
        <w:tc>
          <w:tcPr>
            <w:tcW w:type="dxa" w:w="2822"/>
            <w:shd w:fill="FFFFFF" w:color="auto" w:val="clear"/>
            <w:tcMar>
              <w:top w:type="dxa" w:w="60"/>
              <w:left w:type="dxa" w:w="90"/>
              <w:bottom w:type="dxa" w:w="60"/>
              <w:right w:type="dxa" w:w="90"/>
            </w:tcMar>
          </w:tcPr>
          <w:p>
            <w:pPr>
              <w:spacing w:after="0" w:line="250"/>
              <w:jc w:val="center"/>
            </w:pPr>
            <w:r>
              <w:rPr>
                <w:b/>
                <w:bCs/>
                <w:color w:val="33302B"/>
                <w:sz w:val="18"/>
                <w:szCs w:val="18"/>
              </w:rPr>
              <w:t xml:space="preserve">20%</w:t>
            </w:r>
          </w:p>
        </w:tc>
      </w:tr>
      <w:tr>
        <w:tc>
          <w:tcPr>
            <w:tcW w:type="dxa" w:w="7258"/>
            <w:shd w:fill="F4F2EE" w:color="auto" w:val="clear"/>
            <w:tcMar>
              <w:top w:type="dxa" w:w="60"/>
              <w:left w:type="dxa" w:w="90"/>
              <w:bottom w:type="dxa" w:w="60"/>
              <w:right w:type="dxa" w:w="90"/>
            </w:tcMar>
          </w:tcPr>
          <w:p>
            <w:pPr>
              <w:spacing w:after="0" w:line="250"/>
            </w:pPr>
            <w:r>
              <w:rPr>
                <w:color w:val="1B1A18"/>
                <w:sz w:val="18"/>
                <w:szCs w:val="18"/>
              </w:rPr>
              <w:t xml:space="preserve">Team project — “Crossing map” of a business process (report + presentation)</w:t>
            </w:r>
          </w:p>
        </w:tc>
        <w:tc>
          <w:tcPr>
            <w:tcW w:type="dxa" w:w="2822"/>
            <w:shd w:fill="F4F2EE" w:color="auto" w:val="clear"/>
            <w:tcMar>
              <w:top w:type="dxa" w:w="60"/>
              <w:left w:type="dxa" w:w="90"/>
              <w:bottom w:type="dxa" w:w="60"/>
              <w:right w:type="dxa" w:w="90"/>
            </w:tcMar>
          </w:tcPr>
          <w:p>
            <w:pPr>
              <w:spacing w:after="0" w:line="250"/>
              <w:jc w:val="center"/>
            </w:pPr>
            <w:r>
              <w:rPr>
                <w:b/>
                <w:bCs/>
                <w:color w:val="33302B"/>
                <w:sz w:val="18"/>
                <w:szCs w:val="18"/>
              </w:rPr>
              <w:t xml:space="preserve">25%</w:t>
            </w:r>
          </w:p>
        </w:tc>
      </w:tr>
      <w:tr>
        <w:tc>
          <w:tcPr>
            <w:tcW w:type="dxa" w:w="7258"/>
            <w:shd w:fill="FFFFFF" w:color="auto" w:val="clear"/>
            <w:tcMar>
              <w:top w:type="dxa" w:w="60"/>
              <w:left w:type="dxa" w:w="90"/>
              <w:bottom w:type="dxa" w:w="60"/>
              <w:right w:type="dxa" w:w="90"/>
            </w:tcMar>
          </w:tcPr>
          <w:p>
            <w:pPr>
              <w:spacing w:after="0" w:line="250"/>
            </w:pPr>
            <w:r>
              <w:rPr>
                <w:color w:val="1B1A18"/>
                <w:sz w:val="18"/>
                <w:szCs w:val="18"/>
              </w:rPr>
              <w:t xml:space="preserve">Final exam</w:t>
            </w:r>
          </w:p>
        </w:tc>
        <w:tc>
          <w:tcPr>
            <w:tcW w:type="dxa" w:w="2822"/>
            <w:shd w:fill="FFFFFF" w:color="auto" w:val="clear"/>
            <w:tcMar>
              <w:top w:type="dxa" w:w="60"/>
              <w:left w:type="dxa" w:w="90"/>
              <w:bottom w:type="dxa" w:w="60"/>
              <w:right w:type="dxa" w:w="90"/>
            </w:tcMar>
          </w:tcPr>
          <w:p>
            <w:pPr>
              <w:spacing w:after="0" w:line="250"/>
              <w:jc w:val="center"/>
            </w:pPr>
            <w:r>
              <w:rPr>
                <w:b/>
                <w:bCs/>
                <w:color w:val="33302B"/>
                <w:sz w:val="18"/>
                <w:szCs w:val="18"/>
              </w:rPr>
              <w:t xml:space="preserve">25%</w:t>
            </w:r>
          </w:p>
        </w:tc>
      </w:tr>
      <w:tr>
        <w:tc>
          <w:tcPr>
            <w:tcW w:type="dxa" w:w="7258"/>
            <w:shd w:fill="EBE7DF" w:color="auto" w:val="clear"/>
            <w:tcMar>
              <w:top w:type="dxa" w:w="60"/>
              <w:left w:type="dxa" w:w="90"/>
              <w:bottom w:type="dxa" w:w="60"/>
              <w:right w:type="dxa" w:w="90"/>
            </w:tcMar>
          </w:tcPr>
          <w:p>
            <w:pPr>
              <w:spacing w:after="0" w:line="250"/>
            </w:pPr>
            <w:r>
              <w:rPr>
                <w:b/>
                <w:bCs/>
                <w:color w:val="1B1A18"/>
                <w:sz w:val="18"/>
                <w:szCs w:val="18"/>
              </w:rPr>
              <w:t xml:space="preserve">Total</w:t>
            </w:r>
          </w:p>
        </w:tc>
        <w:tc>
          <w:tcPr>
            <w:tcW w:type="dxa" w:w="2822"/>
            <w:shd w:fill="EBE7DF" w:color="auto" w:val="clear"/>
            <w:tcMar>
              <w:top w:type="dxa" w:w="60"/>
              <w:left w:type="dxa" w:w="90"/>
              <w:bottom w:type="dxa" w:w="60"/>
              <w:right w:type="dxa" w:w="90"/>
            </w:tcMar>
          </w:tcPr>
          <w:p>
            <w:pPr>
              <w:spacing w:after="0" w:line="250"/>
              <w:jc w:val="center"/>
            </w:pPr>
            <w:r>
              <w:rPr>
                <w:b/>
                <w:bCs/>
                <w:color w:val="1B1A18"/>
                <w:sz w:val="18"/>
                <w:szCs w:val="18"/>
              </w:rPr>
              <w:t xml:space="preserve">100%</w:t>
            </w:r>
          </w:p>
        </w:tc>
      </w:tr>
    </w:tbl>
    <w:p>
      <w:pPr>
        <w:spacing w:after="80"/>
      </w:pPr>
    </w:p>
    <w:p>
      <w:pPr>
        <w:pStyle w:val="Heading2"/>
        <w:spacing w:after="100" w:before="240"/>
      </w:pPr>
      <w:r>
        <w:rPr>
          <w:b/>
          <w:bCs/>
          <w:color w:val="1B1A18"/>
          <w:sz w:val="23"/>
          <w:szCs w:val="23"/>
        </w:rPr>
        <w:t xml:space="preserve">Team project — The Crossing Map</w:t>
      </w:r>
    </w:p>
    <w:p>
      <w:pPr>
        <w:spacing w:after="120" w:line="276"/>
      </w:pPr>
      <w:r>
        <w:rPr>
          <w:color w:val="1B1A18"/>
          <w:sz w:val="20"/>
          <w:szCs w:val="20"/>
        </w:rPr>
        <w:t xml:space="preserve">In teams of three to four, choose a familiar end-to-end process (e.g. a university admissions decision, an online order and return, a hospital discharge). Draw the conventional systems-and-arrows diagram, then overlay the invisible layer: at each arrow, identify what meaning, permission, or memory a human currently carries that no system moves on its own.</w:t>
      </w:r>
    </w:p>
    <w:p>
      <w:pPr>
        <w:spacing w:after="120" w:line="276"/>
      </w:pPr>
      <w:r>
        <w:rPr>
          <w:color w:val="1B1A18"/>
          <w:sz w:val="20"/>
          <w:szCs w:val="20"/>
        </w:rPr>
        <w:t xml:space="preserve">Deliverables: (1) an annotated crossing map; (2) a 1,500-word report naming, for three chosen crossings, which of the six properties is at risk and what failure would look like if an AI agent replaced the human courier; (3) a 10-minute presentation aimed at non-technical stakeholders. Assessed on clarity of the diagnosis, correct use of the six-property vocabulary, and quality of communication — not on any proposed technical fix.</w:t>
      </w:r>
    </w:p>
    <w:p>
      <w:pPr>
        <w:pStyle w:val="Heading1"/>
        <w:spacing w:after="140" w:before="320"/>
      </w:pPr>
      <w:r>
        <w:rPr>
          <w:b/>
          <w:bCs/>
          <w:color w:val="33302B"/>
          <w:sz w:val="29"/>
          <w:szCs w:val="29"/>
        </w:rPr>
        <w:t xml:space="preserve">Reference: the book at a glance</w:t>
      </w:r>
    </w:p>
    <w:p>
      <w:pPr>
        <w:spacing w:after="80" w:line="276"/>
      </w:pPr>
      <w:r>
        <w:rPr>
          <w:color w:val="1B1A18"/>
          <w:sz w:val="20"/>
          <w:szCs w:val="20"/>
        </w:rPr>
        <w:t xml:space="preserve">The six parts the readings draw on:</w:t>
      </w:r>
    </w:p>
    <w:p>
      <w:pPr>
        <w:spacing w:after="90" w:line="276"/>
      </w:pPr>
      <w:r>
        <w:rPr>
          <w:b/>
          <w:bCs/>
          <w:color w:val="33302B"/>
          <w:sz w:val="20"/>
          <w:szCs w:val="20"/>
        </w:rPr>
        <w:t xml:space="preserve">Part I — The Invisible Layer (Ch. 1–3) — </w:t>
      </w:r>
      <w:r>
        <w:rPr>
          <w:color w:val="1B1A18"/>
          <w:sz w:val="20"/>
          <w:szCs w:val="20"/>
        </w:rPr>
        <w:t xml:space="preserve">The diagnosis: the human layer that carries meaning, authority and memory across every crossing, and why agentic AI withdraws that subsidy.</w:t>
      </w:r>
    </w:p>
    <w:p>
      <w:pPr>
        <w:spacing w:after="90" w:line="276"/>
      </w:pPr>
      <w:r>
        <w:rPr>
          <w:b/>
          <w:bCs/>
          <w:color w:val="33302B"/>
          <w:sz w:val="20"/>
          <w:szCs w:val="20"/>
        </w:rPr>
        <w:t xml:space="preserve">Part II — The Laws (Ch. 4–6) — </w:t>
      </w:r>
      <w:r>
        <w:rPr>
          <w:color w:val="1B1A18"/>
          <w:sz w:val="20"/>
          <w:szCs w:val="20"/>
        </w:rPr>
        <w:t xml:space="preserve">The custody law, the six conserved properties, the four axioms, and the preservation principle — structure holds, content moves.</w:t>
      </w:r>
    </w:p>
    <w:p>
      <w:pPr>
        <w:spacing w:after="90" w:line="276"/>
      </w:pPr>
      <w:r>
        <w:rPr>
          <w:b/>
          <w:bCs/>
          <w:color w:val="33302B"/>
          <w:sz w:val="20"/>
          <w:szCs w:val="20"/>
        </w:rPr>
        <w:t xml:space="preserve">Part III — Agentic AI (Ch. 7–11) — </w:t>
      </w:r>
      <w:r>
        <w:rPr>
          <w:color w:val="1B1A18"/>
          <w:sz w:val="20"/>
          <w:szCs w:val="20"/>
        </w:rPr>
        <w:t xml:space="preserve">Agents as participants, identity as data, governance in structure not models, trust at the seams, decisions at configuration time.</w:t>
      </w:r>
    </w:p>
    <w:p>
      <w:pPr>
        <w:spacing w:after="90" w:line="276"/>
      </w:pPr>
      <w:r>
        <w:rPr>
          <w:b/>
          <w:bCs/>
          <w:color w:val="33302B"/>
          <w:sz w:val="20"/>
          <w:szCs w:val="20"/>
        </w:rPr>
        <w:t xml:space="preserve">Part IV — Memory and Context (Ch. 12–15) — </w:t>
      </w:r>
      <w:r>
        <w:rPr>
          <w:color w:val="1B1A18"/>
          <w:sz w:val="20"/>
          <w:szCs w:val="20"/>
        </w:rPr>
        <w:t xml:space="preserve">Context is not data; content belongs in the store suited to its shape; durability needs ceremony; memory as an attack surface.</w:t>
      </w:r>
    </w:p>
    <w:p>
      <w:pPr>
        <w:spacing w:after="90" w:line="276"/>
      </w:pPr>
      <w:r>
        <w:rPr>
          <w:b/>
          <w:bCs/>
          <w:color w:val="33302B"/>
          <w:sz w:val="20"/>
          <w:szCs w:val="20"/>
        </w:rPr>
        <w:t xml:space="preserve">Part V — Strategic Consequences (Ch. 16–20) — </w:t>
      </w:r>
      <w:r>
        <w:rPr>
          <w:color w:val="1B1A18"/>
          <w:sz w:val="20"/>
          <w:szCs w:val="20"/>
        </w:rPr>
        <w:t xml:space="preserve">Isolation, sovereignty, governance at volume, the meter and the ledger (cost), infrastructure that outlives what it coordinates.</w:t>
      </w:r>
    </w:p>
    <w:p>
      <w:pPr>
        <w:spacing w:after="90" w:line="276"/>
      </w:pPr>
      <w:r>
        <w:rPr>
          <w:b/>
          <w:bCs/>
          <w:color w:val="33302B"/>
          <w:sz w:val="20"/>
          <w:szCs w:val="20"/>
        </w:rPr>
        <w:t xml:space="preserve">Part VI — Practice (Ch. 21–23) — </w:t>
      </w:r>
      <w:r>
        <w:rPr>
          <w:color w:val="1B1A18"/>
          <w:sz w:val="20"/>
          <w:szCs w:val="20"/>
        </w:rPr>
        <w:t xml:space="preserve">Preservation is not stasis; the nine-test evaluation protocol; the six custody rules and the rule above them.</w:t>
      </w:r>
    </w:p>
    <w:p>
      <w:pPr>
        <w:pBdr>
          <w:bottom w:val="single" w:color="D6D2C9" w:sz="8"/>
        </w:pBdr>
        <w:spacing w:after="100" w:before="160"/>
      </w:pPr>
      <w:r>
        <w:t xml:space="preserve"/>
      </w:r>
    </w:p>
    <w:p>
      <w:pPr>
        <w:spacing w:after="120" w:line="276"/>
        <w:jc w:val="center"/>
      </w:pPr>
      <w:r>
        <w:rPr>
          <w:i/>
          <w:iCs/>
          <w:color w:val="33302B"/>
          <w:sz w:val="20"/>
          <w:szCs w:val="20"/>
        </w:rPr>
        <w:t xml:space="preserve">The rule above the rules: “Every component must be replaceable, and no property ever may be.”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D2C9" w:sz="6"/>
      </w:pBdr>
      <w:spacing w:before="60"/>
      <w:jc w:val="center"/>
    </w:pPr>
    <w:r>
      <w:rPr>
        <w:i/>
        <w:iCs/>
        <w:color w:val="6E6A62"/>
        <w:sz w:val="16"/>
        <w:szCs w:val="16"/>
      </w:rPr>
      <w:t xml:space="preserve">Based on </w:t>
    </w:r>
    <w:r>
      <w:rPr>
        <w:i/>
        <w:iCs/>
        <w:color w:val="6E6A62"/>
        <w:sz w:val="16"/>
        <w:szCs w:val="16"/>
      </w:rPr>
      <w:t xml:space="preserve">What the Structure Does Not Carry</w:t>
    </w:r>
    <w:r>
      <w:rPr>
        <w:color w:val="6E6A62"/>
        <w:sz w:val="16"/>
        <w:szCs w:val="16"/>
      </w:rPr>
      <w:t xml:space="preserve"> by Georg Zangl   •   Page </w:t>
    </w:r>
    <w:r>
      <w:rPr>
        <w:color w:val="6E6A6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D2C9" w:sz="6"/>
      </w:pBdr>
      <w:spacing w:after="60"/>
      <w:jc w:val="right"/>
    </w:pPr>
    <w:r>
      <w:rPr>
        <w:caps/>
        <w:color w:val="6E6A62"/>
        <w:sz w:val="16"/>
        <w:szCs w:val="16"/>
      </w:rPr>
      <w:t xml:space="preserve">BSc — Foundations of the Agentic Enterprise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color w:val="33302B"/>
      </w:rPr>
    </w:lvl>
  </w:abstractNum>
  <w:abstractNum w:abstractNumId="3" w15:restartNumberingAfterBreak="0">
    <w:multiLevelType w:val="hybridMultilevel"/>
    <w:lvl w:ilvl="0" w15:tentative="1">
      <w:start w:val="1"/>
      <w:numFmt w:val="decimal"/>
      <w:lvlText w:val="LO%1."/>
      <w:lvlJc w:val="left"/>
      <w:pPr>
        <w:ind w:left="520" w:hanging="400"/>
      </w:pPr>
    </w:lvl>
  </w:abstractNum>
  <w:abstractNum w:abstractNumId="4" w15:restartNumberingAfterBreak="0">
    <w:multiLevelType w:val="hybridMultilevel"/>
    <w:lvl w:ilvl="0" w15:tentative="1">
      <w:start w:val="1"/>
      <w:numFmt w:val="decimal"/>
      <w:lvlText w:val="%1."/>
      <w:lvlJc w:val="left"/>
      <w:pPr>
        <w:ind w:left="360" w:hanging="24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B1A18"/>
        <w:sz w:val="20"/>
        <w:szCs w:val="20"/>
      </w:rPr>
    </w:rPrDefault>
    <w:pPrDefault/>
  </w:docDefaults>
  <w:style w:type="paragraph" w:styleId="Title">
    <w:name w:val="Title"/>
    <w:basedOn w:val="Normal"/>
    <w:next w:val="Normal"/>
    <w:qFormat/>
    <w:rPr>
      <w:sz w:val="55"/>
      <w:szCs w:val="55"/>
    </w:rPr>
  </w:style>
  <w:style w:type="paragraph" w:styleId="Heading1">
    <w:name w:val="Heading 1"/>
    <w:basedOn w:val="Normal"/>
    <w:next w:val="Normal"/>
    <w:qFormat/>
    <w:rPr>
      <w:color w:val="33302B"/>
      <w:sz w:val="31"/>
      <w:szCs w:val="31"/>
    </w:rPr>
  </w:style>
  <w:style w:type="paragraph" w:styleId="Heading2">
    <w:name w:val="Heading 2"/>
    <w:basedOn w:val="Normal"/>
    <w:next w:val="Normal"/>
    <w:qFormat/>
    <w:rPr>
      <w:color w:val="33302B"/>
      <w:sz w:val="25"/>
      <w:szCs w:val="25"/>
    </w:rPr>
  </w:style>
  <w:style w:type="paragraph" w:styleId="Heading3">
    <w:name w:val="Heading 3"/>
    <w:basedOn w:val="Normal"/>
    <w:next w:val="Normal"/>
    <w:qFormat/>
    <w:rPr>
      <w:color w:val="33302B"/>
      <w:sz w:val="23"/>
      <w:szCs w:val="23"/>
    </w:rPr>
  </w:style>
  <w:style w:type="paragraph" w:styleId="Heading4">
    <w:name w:val="Heading 4"/>
    <w:basedOn w:val="Normal"/>
    <w:next w:val="Normal"/>
    <w:qFormat/>
    <w:rPr>
      <w:i/>
      <w:iCs/>
      <w:color w:val="33302B"/>
    </w:rPr>
  </w:style>
  <w:style w:type="paragraph" w:styleId="Heading5">
    <w:name w:val="Heading 5"/>
    <w:basedOn w:val="Normal"/>
    <w:next w:val="Normal"/>
    <w:qFormat/>
    <w:rPr>
      <w:color w:val="33302B"/>
    </w:rPr>
  </w:style>
  <w:style w:type="paragraph" w:styleId="Heading6">
    <w:name w:val="Heading 6"/>
    <w:basedOn w:val="Normal"/>
    <w:next w:val="Normal"/>
    <w:qFormat/>
    <w:rPr>
      <w:color w:val="33302B"/>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57534A"/>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19"/>
      <w:szCs w:val="19"/>
    </w:rPr>
  </w:style>
  <w:style w:type="character" w:styleId="FootnoteTextChar">
    <w:name w:val="Footnote Text Char"/>
    <w:basedOn w:val="DefaultParagraphFont"/>
    <w:link w:val="FootnoteText"/>
    <w:uiPriority w:val="99"/>
    <w:semiHidden/>
    <w:unhideWhenUsed/>
    <w:rPr>
      <w:sz w:val="19"/>
      <w:szCs w:val="19"/>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19"/>
      <w:szCs w:val="19"/>
    </w:rPr>
  </w:style>
  <w:style w:type="character" w:styleId="EndnoteTextChar">
    <w:name w:val="Endnote Text Char"/>
    <w:basedOn w:val="DefaultParagraphFont"/>
    <w:link w:val="EndnoteText"/>
    <w:uiPriority w:val="99"/>
    <w:semiHidden/>
    <w:unhideWhenUsed/>
    <w:rPr>
      <w:sz w:val="19"/>
      <w:szCs w:val="19"/>
    </w:rPr>
  </w:style>
  <w:style w:type="paragraph" w:styleId="Heading1">
    <w:name w:val="Heading 1"/>
    <w:basedOn w:val="Normal"/>
    <w:next w:val="Normal"/>
    <w:qFormat/>
    <w:rPr>
      <w:rFonts w:ascii="Georgia" w:cs="Georgia" w:eastAsia="Georgia" w:hAnsi="Georgia"/>
      <w:b/>
      <w:bCs/>
      <w:color w:val="33302B"/>
      <w:sz w:val="29"/>
      <w:szCs w:val="29"/>
    </w:rPr>
  </w:style>
  <w:style w:type="paragraph" w:styleId="Heading2">
    <w:name w:val="Heading 2"/>
    <w:basedOn w:val="Normal"/>
    <w:next w:val="Normal"/>
    <w:qFormat/>
    <w:rPr>
      <w:rFonts w:ascii="Georgia" w:cs="Georgia" w:eastAsia="Georgia" w:hAnsi="Georgia"/>
      <w:b/>
      <w:bCs/>
      <w:color w:val="1B1A18"/>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Foundations of the Agentic Enterprise</dc:title>
  <dc:creator>MudoZangl — adapted from What the Structure Does Not Carry</dc:creator>
  <dc:description>Course syllabus adapted from the book by Georg Zangl</dc:description>
  <cp:lastModifiedBy>Un-named</cp:lastModifiedBy>
  <cp:revision>1</cp:revision>
  <dcterms:created xsi:type="dcterms:W3CDTF">2026-08-15T17:02:29.352Z</dcterms:created>
  <dcterms:modified xsi:type="dcterms:W3CDTF">2026-08-15T17:02:29.364Z</dcterms:modified>
</cp:coreProperties>
</file>

<file path=docProps/custom.xml><?xml version="1.0" encoding="utf-8"?>
<Properties xmlns="http://schemas.openxmlformats.org/officeDocument/2006/custom-properties" xmlns:vt="http://schemas.openxmlformats.org/officeDocument/2006/docPropsVTypes"/>
</file>