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00"/>
      </w:pPr>
      <w:r>
        <w:rPr>
          <w:b/>
          <w:bCs/>
          <w:caps/>
          <w:color w:val="33302B"/>
          <w:spacing w:val="40"/>
          <w:sz w:val="21"/>
          <w:szCs w:val="21"/>
        </w:rPr>
        <w:t xml:space="preserve">Capstone</w:t>
      </w:r>
    </w:p>
    <w:p>
      <w:pPr>
        <w:pBdr>
          <w:bottom w:val="single" w:color="33302B" w:sz="12"/>
        </w:pBdr>
        <w:spacing w:after="120"/>
      </w:pPr>
      <w:r>
        <w:rPr>
          <w:b/>
          <w:bCs/>
          <w:color w:val="1B1A18"/>
          <w:sz w:val="45"/>
          <w:szCs w:val="45"/>
        </w:rPr>
        <w:t xml:space="preserve">Custody-Architecture Proposal</w:t>
      </w:r>
    </w:p>
    <w:p>
      <w:pPr>
        <w:spacing w:after="300" w:before="140"/>
      </w:pPr>
      <w:r>
        <w:rPr>
          <w:i/>
          <w:iCs/>
          <w:color w:val="6E6A62"/>
          <w:sz w:val="23"/>
          <w:szCs w:val="23"/>
        </w:rPr>
        <w:t xml:space="preserve">Capstone kit: brief, milestones, template, self-test requirement, and rubric</w:t>
      </w:r>
    </w:p>
    <w:p>
      <w:pPr>
        <w:spacing w:after="40" w:line="276"/>
      </w:pPr>
      <w:r>
        <w:rPr>
          <w:b/>
          <w:bCs/>
          <w:color w:val="1B1A18"/>
          <w:sz w:val="20"/>
          <w:szCs w:val="20"/>
        </w:rPr>
        <w:t xml:space="preserve">Course: </w:t>
      </w:r>
      <w:r>
        <w:rPr>
          <w:color w:val="1B1A18"/>
          <w:sz w:val="20"/>
          <w:szCs w:val="20"/>
        </w:rPr>
        <w:t xml:space="preserve">Custody Architecture for Agentic Enterprises (MSc)</w:t>
      </w:r>
    </w:p>
    <w:p>
      <w:pPr>
        <w:spacing w:after="40" w:line="276"/>
      </w:pPr>
      <w:r>
        <w:rPr>
          <w:b/>
          <w:bCs/>
          <w:color w:val="1B1A18"/>
          <w:sz w:val="20"/>
          <w:szCs w:val="20"/>
        </w:rPr>
        <w:t xml:space="preserve">Source text: </w:t>
      </w:r>
      <w:r>
        <w:rPr>
          <w:i/>
          <w:iCs/>
          <w:color w:val="1B1A18"/>
          <w:sz w:val="20"/>
          <w:szCs w:val="20"/>
        </w:rPr>
        <w:t xml:space="preserve">What the Structure Does Not Carry</w:t>
      </w:r>
      <w:r>
        <w:rPr>
          <w:color w:val="1B1A18"/>
          <w:sz w:val="20"/>
          <w:szCs w:val="20"/>
        </w:rPr>
        <w:t xml:space="preserve"> — Georg Zangl (2026)</w:t>
      </w:r>
    </w:p>
    <w:p>
      <w:pPr>
        <w:spacing w:after="300" w:line="276"/>
      </w:pPr>
      <w:r>
        <w:rPr>
          <w:b/>
          <w:bCs/>
          <w:color w:val="1B1A18"/>
          <w:sz w:val="20"/>
          <w:szCs w:val="20"/>
        </w:rPr>
        <w:t xml:space="preserve">Instructor: </w:t>
      </w:r>
      <w:r>
        <w:rPr>
          <w:color w:val="1B1A18"/>
          <w:sz w:val="20"/>
          <w:szCs w:val="20"/>
        </w:rPr>
        <w:t xml:space="preserve">[Instructor name]     </w:t>
      </w:r>
      <w:r>
        <w:rPr>
          <w:b/>
          <w:bCs/>
          <w:color w:val="1B1A18"/>
          <w:sz w:val="20"/>
          <w:szCs w:val="20"/>
        </w:rPr>
        <w:t xml:space="preserve">Term: </w:t>
      </w:r>
      <w:r>
        <w:rPr>
          <w:color w:val="1B1A18"/>
          <w:sz w:val="20"/>
          <w:szCs w:val="20"/>
        </w:rPr>
        <w:t xml:space="preserve">[Term / year]</w:t>
      </w:r>
    </w:p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The capstone (30% of the grade) asks each student to design — at the level of properties and crossings, not products — an architecture that keeps all six properties in custody as agentic work moves through a chosen regulated domain. It is the course’s integrative assessment: it exercises the law, the axioms, the preservation principle, and the evaluation protocol at once, and it is defended live under peer testing in Week 13.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1 · Goals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Integrate — </w:t>
      </w:r>
      <w:r>
        <w:rPr>
          <w:color w:val="1B1A18"/>
          <w:sz w:val="20"/>
          <w:szCs w:val="20"/>
        </w:rPr>
        <w:t xml:space="preserve">Design custody for all six properties across the crossings of a real regulated domain.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Locate — </w:t>
      </w:r>
      <w:r>
        <w:rPr>
          <w:color w:val="1B1A18"/>
          <w:sz w:val="20"/>
          <w:szCs w:val="20"/>
        </w:rPr>
        <w:t xml:space="preserve">Locate every guarantee outside the model, at a named structural enforcement point.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Withstand — </w:t>
      </w:r>
      <w:r>
        <w:rPr>
          <w:color w:val="1B1A18"/>
          <w:sz w:val="20"/>
          <w:szCs w:val="20"/>
        </w:rPr>
        <w:t xml:space="preserve">Survive the student’s own application of the nine-test protocol, and name where the design is weakest.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2 · Choosing a domain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Pick a domain with genuine non-negotiables and independent change on several axes. Suggested: cross-border payments, clinical decision support, energy trading and dispatch, insurance claims adjudication, or public-sector benefits. Avoid domains so broad you cannot state a concrete ‘never’.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3 · Milestones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4000"/>
        <w:gridCol w:w="1400"/>
        <w:gridCol w:w="4680"/>
      </w:tblGrid>
      <w:tr>
        <w:trPr>
          <w:tblHeader/>
        </w:trPr>
        <w:tc>
          <w:tcPr>
            <w:tcW w:type="dxa" w:w="40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4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6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is due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Domain &amp; thesis approved</w:t>
            </w:r>
          </w:p>
        </w:tc>
        <w:tc>
          <w:tcPr>
            <w:tcW w:type="dxa" w:w="1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Week 6</w:t>
            </w:r>
          </w:p>
        </w:tc>
        <w:tc>
          <w:tcPr>
            <w:tcW w:type="dxa" w:w="46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One page: domain, its hard ‘nevers’, and your thesis</w:t>
            </w:r>
          </w:p>
        </w:tc>
      </w:tr>
      <w:tr>
        <w:tc>
          <w:tcPr>
            <w:tcW w:type="dxa" w:w="40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Crossing inventory</w:t>
            </w:r>
          </w:p>
        </w:tc>
        <w:tc>
          <w:tcPr>
            <w:tcW w:type="dxa" w:w="1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Week 9</w:t>
            </w:r>
          </w:p>
        </w:tc>
        <w:tc>
          <w:tcPr>
            <w:tcW w:type="dxa" w:w="46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The domain’s crossings and the property most at risk at each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Full draft</w:t>
            </w:r>
          </w:p>
        </w:tc>
        <w:tc>
          <w:tcPr>
            <w:tcW w:type="dxa" w:w="1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Week 12</w:t>
            </w:r>
          </w:p>
        </w:tc>
        <w:tc>
          <w:tcPr>
            <w:tcW w:type="dxa" w:w="46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Complete proposal draft for peer read</w:t>
            </w:r>
          </w:p>
        </w:tc>
      </w:tr>
      <w:tr>
        <w:tc>
          <w:tcPr>
            <w:tcW w:type="dxa" w:w="40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Defence</w:t>
            </w:r>
          </w:p>
        </w:tc>
        <w:tc>
          <w:tcPr>
            <w:tcW w:type="dxa" w:w="1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Week 13</w:t>
            </w:r>
          </w:p>
        </w:tc>
        <w:tc>
          <w:tcPr>
            <w:tcW w:type="dxa" w:w="46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Presentation + live protocol testing by peers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Final proposal</w:t>
            </w:r>
          </w:p>
        </w:tc>
        <w:tc>
          <w:tcPr>
            <w:tcW w:type="dxa" w:w="1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Exam period</w:t>
            </w:r>
          </w:p>
        </w:tc>
        <w:tc>
          <w:tcPr>
            <w:tcW w:type="dxa" w:w="46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Revised proposal (5,000–6,000 words)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4 · The proposal (5,000–6,000 words)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Structure it as a derivation, not a product description. Required sections: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1.  </w:t>
      </w:r>
      <w:r>
        <w:rPr>
          <w:color w:val="1B1A18"/>
          <w:sz w:val="20"/>
          <w:szCs w:val="20"/>
        </w:rPr>
        <w:t xml:space="preserve">The domain and its non-negotiables — the modal rules that must hold always/never.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2.  </w:t>
      </w:r>
      <w:r>
        <w:rPr>
          <w:color w:val="1B1A18"/>
          <w:sz w:val="20"/>
          <w:szCs w:val="20"/>
        </w:rPr>
        <w:t xml:space="preserve">The crossings — where work moves, and which of the six properties is most at risk at each.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3.  </w:t>
      </w:r>
      <w:r>
        <w:rPr>
          <w:color w:val="1B1A18"/>
          <w:sz w:val="20"/>
          <w:szCs w:val="20"/>
        </w:rPr>
        <w:t xml:space="preserve">The partition — what is invariant vs variant in your design, and why.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4.  </w:t>
      </w:r>
      <w:r>
        <w:rPr>
          <w:color w:val="1B1A18"/>
          <w:sz w:val="20"/>
          <w:szCs w:val="20"/>
        </w:rPr>
        <w:t xml:space="preserve">Custody per property — for each of the six, how it is carried and where it is enforced (outside the model).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5.  </w:t>
      </w:r>
      <w:r>
        <w:rPr>
          <w:color w:val="1B1A18"/>
          <w:sz w:val="20"/>
          <w:szCs w:val="20"/>
        </w:rPr>
        <w:t xml:space="preserve">Sovereignty &amp; evidence — dependency census, and how attribution and cost arise by construction.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6.  </w:t>
      </w:r>
      <w:r>
        <w:rPr>
          <w:color w:val="1B1A18"/>
          <w:sz w:val="20"/>
          <w:szCs w:val="20"/>
        </w:rPr>
        <w:t xml:space="preserve">Self-administered protocol — your own nine-test results against the design.</w:t>
      </w:r>
    </w:p>
    <w:p>
      <w:pPr>
        <w:spacing w:after="70" w:line="268"/>
        <w:ind w:left="380" w:hanging="260"/>
      </w:pPr>
      <w:r>
        <w:rPr>
          <w:b/>
          <w:bCs/>
          <w:color w:val="33302B"/>
          <w:sz w:val="20"/>
          <w:szCs w:val="20"/>
        </w:rPr>
        <w:t xml:space="preserve">7.  </w:t>
      </w:r>
      <w:r>
        <w:rPr>
          <w:color w:val="1B1A18"/>
          <w:sz w:val="20"/>
          <w:szCs w:val="20"/>
        </w:rPr>
        <w:t xml:space="preserve">Weaknesses — where the design is most contestable or likely to be outrun by events.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5 · Templates</w:t>
      </w:r>
    </w:p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5.1 Crossing inventory (one row per crossing)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3400"/>
        <w:gridCol w:w="2600"/>
        <w:gridCol w:w="2200"/>
        <w:gridCol w:w="1880"/>
      </w:tblGrid>
      <w:tr>
        <w:trPr>
          <w:tblHeader/>
        </w:trPr>
        <w:tc>
          <w:tcPr>
            <w:tcW w:type="dxa" w:w="34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Crossing (from → to)</w:t>
            </w:r>
          </w:p>
        </w:tc>
        <w:tc>
          <w:tcPr>
            <w:tcW w:type="dxa" w:w="26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 that crosses</w:t>
            </w:r>
          </w:p>
        </w:tc>
        <w:tc>
          <w:tcPr>
            <w:tcW w:type="dxa" w:w="2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 most at risk</w:t>
            </w:r>
          </w:p>
        </w:tc>
        <w:tc>
          <w:tcPr>
            <w:tcW w:type="dxa" w:w="18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Enforcement point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[system/actor → system/actor]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[the payload]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[of the six]</w:t>
            </w:r>
          </w:p>
        </w:tc>
        <w:tc>
          <w:tcPr>
            <w:tcW w:type="dxa" w:w="18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[the structural gate]</w:t>
            </w:r>
          </w:p>
        </w:tc>
      </w:tr>
      <w:tr>
        <w:tc>
          <w:tcPr>
            <w:tcW w:type="dxa" w:w="3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…</w:t>
            </w:r>
          </w:p>
        </w:tc>
        <w:tc>
          <w:tcPr>
            <w:tcW w:type="dxa" w:w="26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…</w:t>
            </w:r>
          </w:p>
        </w:tc>
        <w:tc>
          <w:tcPr>
            <w:tcW w:type="dxa" w:w="2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…</w:t>
            </w:r>
          </w:p>
        </w:tc>
        <w:tc>
          <w:tcPr>
            <w:tcW w:type="dxa" w:w="18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…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5.2 Custody-per-property table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2600"/>
        <w:gridCol w:w="4080"/>
        <w:gridCol w:w="3400"/>
      </w:tblGrid>
      <w:tr>
        <w:trPr>
          <w:tblHeader/>
        </w:trPr>
        <w:tc>
          <w:tcPr>
            <w:tcW w:type="dxa" w:w="26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40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it is carried</w:t>
            </w:r>
          </w:p>
        </w:tc>
        <w:tc>
          <w:tcPr>
            <w:tcW w:type="dxa" w:w="34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it is enforced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Context</w:t>
            </w:r>
          </w:p>
        </w:tc>
        <w:tc>
          <w:tcPr>
            <w:tcW w:type="dxa" w:w="40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[what significance travels, captured where]</w:t>
            </w:r>
          </w:p>
        </w:tc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[the seam / store]</w:t>
            </w:r>
          </w:p>
        </w:tc>
      </w:tr>
      <w:tr>
        <w:tc>
          <w:tcPr>
            <w:tcW w:type="dxa" w:w="26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Authority</w:t>
            </w:r>
          </w:p>
        </w:tc>
        <w:tc>
          <w:tcPr>
            <w:tcW w:type="dxa" w:w="40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[rights as data]</w:t>
            </w:r>
          </w:p>
        </w:tc>
        <w:tc>
          <w:tcPr>
            <w:tcW w:type="dxa" w:w="3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[the boundary that consults them]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Accountability</w:t>
            </w:r>
          </w:p>
        </w:tc>
        <w:tc>
          <w:tcPr>
            <w:tcW w:type="dxa" w:w="40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[provenance by-product]</w:t>
            </w:r>
          </w:p>
        </w:tc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[execution-time capture]</w:t>
            </w:r>
          </w:p>
        </w:tc>
      </w:tr>
      <w:tr>
        <w:tc>
          <w:tcPr>
            <w:tcW w:type="dxa" w:w="26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Coordination</w:t>
            </w:r>
          </w:p>
        </w:tc>
        <w:tc>
          <w:tcPr>
            <w:tcW w:type="dxa" w:w="40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[shared invariant]</w:t>
            </w:r>
          </w:p>
        </w:tc>
        <w:tc>
          <w:tcPr>
            <w:tcW w:type="dxa" w:w="3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[the seam]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Execution coherence</w:t>
            </w:r>
          </w:p>
        </w:tc>
        <w:tc>
          <w:tcPr>
            <w:tcW w:type="dxa" w:w="40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[the floor]</w:t>
            </w:r>
          </w:p>
        </w:tc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[every crossing]</w:t>
            </w:r>
          </w:p>
        </w:tc>
      </w:tr>
      <w:tr>
        <w:tc>
          <w:tcPr>
            <w:tcW w:type="dxa" w:w="26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Institutional memory</w:t>
            </w:r>
          </w:p>
        </w:tc>
        <w:tc>
          <w:tcPr>
            <w:tcW w:type="dxa" w:w="40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[ceremony + provenance]</w:t>
            </w:r>
          </w:p>
        </w:tc>
        <w:tc>
          <w:tcPr>
            <w:tcW w:type="dxa" w:w="3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[the durable store]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6 · The self-test requirement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The proposal must include your own run of the nine-test protocol against your design, beginning with the single-clause specification — show the crossing, and show what survives it — and covering onboarding, address, expressibility, origin, dependency, substitution, last-month, two-invoices, and outlive. A proposal that passes its own protocol too easily has usually mis-scoped a ‘never’; the honesty of this section is graded.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7 · The defence (Week 13)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A 20-minute session: a 10-minute presentation of the thesis and the custody design, then peers run selected protocol tests against it live, and the author responds — including a candid account of the design’s weakest point. The standard is the book’s own: the tests must bite, including against the author.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8 · Rubric (100 → 30%)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3200"/>
        <w:gridCol w:w="1200"/>
        <w:gridCol w:w="5680"/>
      </w:tblGrid>
      <w:tr>
        <w:trPr>
          <w:tblHeader/>
        </w:trPr>
        <w:tc>
          <w:tcPr>
            <w:tcW w:type="dxa" w:w="3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6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excellence looks like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Rigour of derivation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25</w:t>
            </w:r>
          </w:p>
        </w:tc>
        <w:tc>
          <w:tcPr>
            <w:tcW w:type="dxa" w:w="56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Design follows from the law, axioms, and partition — not asserted</w:t>
            </w:r>
          </w:p>
        </w:tc>
      </w:tr>
      <w:tr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Location of enforcement</w:t>
            </w:r>
          </w:p>
        </w:tc>
        <w:tc>
          <w:tcPr>
            <w:tcW w:type="dxa" w:w="1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25</w:t>
            </w:r>
          </w:p>
        </w:tc>
        <w:tc>
          <w:tcPr>
            <w:tcW w:type="dxa" w:w="56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Every guarantee sits outside the model, at a named structural point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Completeness across the six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20</w:t>
            </w:r>
          </w:p>
        </w:tc>
        <w:tc>
          <w:tcPr>
            <w:tcW w:type="dxa" w:w="56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All six properties carried; crossings mapped correctly</w:t>
            </w:r>
          </w:p>
        </w:tc>
      </w:tr>
      <w:tr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Honesty about limits</w:t>
            </w:r>
          </w:p>
        </w:tc>
        <w:tc>
          <w:tcPr>
            <w:tcW w:type="dxa" w:w="1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15</w:t>
            </w:r>
          </w:p>
        </w:tc>
        <w:tc>
          <w:tcPr>
            <w:tcW w:type="dxa" w:w="56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Weaknesses named; self-test genuinely bites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Defence</w:t>
            </w:r>
          </w:p>
        </w:tc>
        <w:tc>
          <w:tcPr>
            <w:tcW w:type="dxa" w:w="1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15</w:t>
            </w:r>
          </w:p>
        </w:tc>
        <w:tc>
          <w:tcPr>
            <w:tcW w:type="dxa" w:w="56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Withstands live protocol testing; responds to the hardest objection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9 · Academic integrity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Proposals must be the student’s own derivation. AI tools may be used for drafting and exploration if disclosed; the architectural reasoning, the enforcement locations, and the self-test verdicts must be the student’s own work. Any real consequence records or reference architectures cited must be accurately sourced. Standard [Institution] graduate integrity rules apply.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2C9" w:sz="6"/>
      </w:pBdr>
      <w:spacing w:before="60"/>
      <w:jc w:val="center"/>
    </w:pPr>
    <w:r>
      <w:rPr>
        <w:color w:val="6E6A62"/>
        <w:sz w:val="16"/>
        <w:szCs w:val="16"/>
      </w:rPr>
      <w:t xml:space="preserve">MSc — Custody Architecture for Agentic Enterprises   ·   Page </w:t>
    </w:r>
    <w:r>
      <w:rPr>
        <w:color w:val="6E6A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2C9" w:sz="6"/>
      </w:pBdr>
      <w:spacing w:after="60"/>
      <w:jc w:val="right"/>
    </w:pPr>
    <w:r>
      <w:rPr>
        <w:caps/>
        <w:color w:val="6E6A62"/>
        <w:sz w:val="16"/>
        <w:szCs w:val="16"/>
      </w:rPr>
      <w:t xml:space="preserve">Capstone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3330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1A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5"/>
      <w:szCs w:val="55"/>
    </w:rPr>
  </w:style>
  <w:style w:type="paragraph" w:styleId="Heading1">
    <w:name w:val="Heading 1"/>
    <w:basedOn w:val="Normal"/>
    <w:next w:val="Normal"/>
    <w:qFormat/>
    <w:rPr>
      <w:color w:val="33302B"/>
      <w:sz w:val="31"/>
      <w:szCs w:val="31"/>
    </w:rPr>
  </w:style>
  <w:style w:type="paragraph" w:styleId="Heading2">
    <w:name w:val="Heading 2"/>
    <w:basedOn w:val="Normal"/>
    <w:next w:val="Normal"/>
    <w:qFormat/>
    <w:rPr>
      <w:color w:val="33302B"/>
      <w:sz w:val="25"/>
      <w:szCs w:val="25"/>
    </w:rPr>
  </w:style>
  <w:style w:type="paragraph" w:styleId="Heading3">
    <w:name w:val="Heading 3"/>
    <w:basedOn w:val="Normal"/>
    <w:next w:val="Normal"/>
    <w:qFormat/>
    <w:rPr>
      <w:color w:val="33302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33302B"/>
    </w:rPr>
  </w:style>
  <w:style w:type="paragraph" w:styleId="Heading5">
    <w:name w:val="Heading 5"/>
    <w:basedOn w:val="Normal"/>
    <w:next w:val="Normal"/>
    <w:qFormat/>
    <w:rPr>
      <w:color w:val="33302B"/>
    </w:rPr>
  </w:style>
  <w:style w:type="paragraph" w:styleId="Heading6">
    <w:name w:val="Heading 6"/>
    <w:basedOn w:val="Normal"/>
    <w:next w:val="Normal"/>
    <w:qFormat/>
    <w:rPr>
      <w:color w:val="33302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57534A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19"/>
      <w:szCs w:val="19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19"/>
      <w:szCs w:val="19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33302B"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B1A18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color w:val="5753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 Capstone Kit — Custody-Architecture Proposal</dc:title>
  <dc:creator>MudoZangl — MSc course materials</dc:creator>
  <cp:lastModifiedBy>Un-named</cp:lastModifiedBy>
  <cp:revision>1</cp:revision>
  <dcterms:created xsi:type="dcterms:W3CDTF">2026-08-16T05:30:55.029Z</dcterms:created>
  <dcterms:modified xsi:type="dcterms:W3CDTF">2026-08-16T05:30:55.029Z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