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aps/>
          <w:color w:val="33302B"/>
          <w:spacing w:val="40"/>
          <w:sz w:val="21"/>
          <w:szCs w:val="21"/>
        </w:rPr>
        <w:t xml:space="preserve">Assessment pack</w:t>
      </w:r>
    </w:p>
    <w:p>
      <w:pPr>
        <w:pBdr>
          <w:bottom w:val="single" w:color="33302B" w:sz="12"/>
        </w:pBdr>
        <w:spacing w:after="120"/>
      </w:pPr>
      <w:r>
        <w:rPr>
          <w:b/>
          <w:bCs/>
          <w:color w:val="1B1A18"/>
          <w:sz w:val="45"/>
          <w:szCs w:val="45"/>
        </w:rPr>
        <w:t xml:space="preserve">Problem Sets &amp; Assessments</w:t>
      </w:r>
    </w:p>
    <w:p>
      <w:pPr>
        <w:spacing w:after="300" w:before="140"/>
      </w:pPr>
      <w:r>
        <w:rPr>
          <w:i/>
          <w:iCs/>
          <w:color w:val="6E6A62"/>
          <w:sz w:val="23"/>
          <w:szCs w:val="23"/>
        </w:rPr>
        <w:t xml:space="preserve">Three derivation problem sets (with solutions), the case analysis, and the reference-architecture critique</w:t>
      </w:r>
    </w:p>
    <w:p>
      <w:pPr>
        <w:spacing w:after="40" w:line="276"/>
      </w:pPr>
      <w:r>
        <w:rPr>
          <w:b/>
          <w:bCs/>
          <w:color w:val="1B1A18"/>
          <w:sz w:val="20"/>
          <w:szCs w:val="20"/>
        </w:rPr>
        <w:t xml:space="preserve">Course: </w:t>
      </w:r>
      <w:r>
        <w:rPr>
          <w:color w:val="1B1A18"/>
          <w:sz w:val="20"/>
          <w:szCs w:val="20"/>
        </w:rPr>
        <w:t xml:space="preserve">Custody Architecture for Agentic Enterprises (MSc)</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30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spacing w:after="110" w:line="276"/>
      </w:pPr>
      <w:r>
        <w:rPr>
          <w:i/>
          <w:iCs/>
          <w:color w:val="6E6A62"/>
          <w:sz w:val="20"/>
          <w:szCs w:val="20"/>
        </w:rPr>
        <w:t xml:space="preserve">This pack contains the course’s graded work other than the capstone: three derivation problem sets with full solutions, the consequence-record case analysis, and the reference-architecture critique. Weightings (from the syllabus): problem sets 20% combined, case analysis 20%, critique 20% (capstone 30%, seminar leadership 10%). Solutions are for the instructor — remove before distributing.</w:t>
      </w:r>
    </w:p>
    <w:p>
      <w:r>
        <w:br w:type="page"/>
      </w:r>
    </w:p>
    <w:p>
      <w:pPr>
        <w:pStyle w:val="Heading1"/>
        <w:spacing w:after="130" w:before="300"/>
      </w:pPr>
      <w:r>
        <w:rPr>
          <w:b/>
          <w:bCs/>
          <w:color w:val="33302B"/>
          <w:sz w:val="29"/>
          <w:szCs w:val="29"/>
        </w:rPr>
        <w:t xml:space="preserve">Problem Set 1 — Axiom composition &amp; the eliminations</w:t>
      </w:r>
    </w:p>
    <w:p>
      <w:pPr>
        <w:spacing w:after="110" w:line="276"/>
      </w:pPr>
      <w:r>
        <w:rPr>
          <w:color w:val="6E6A62"/>
          <w:sz w:val="20"/>
          <w:szCs w:val="20"/>
        </w:rPr>
        <w:t xml:space="preserve">Set Week 3, due Week 4 · 4 questions · assesses the derivation from axioms to architecture.</w:t>
      </w:r>
    </w:p>
    <w:p>
      <w:pPr>
        <w:spacing w:after="70" w:line="268"/>
        <w:ind w:left="380" w:hanging="260"/>
      </w:pPr>
      <w:r>
        <w:rPr>
          <w:b/>
          <w:bCs/>
          <w:color w:val="33302B"/>
          <w:sz w:val="20"/>
          <w:szCs w:val="20"/>
        </w:rPr>
        <w:t xml:space="preserve">1.  </w:t>
      </w:r>
      <w:r>
        <w:rPr>
          <w:color w:val="1B1A18"/>
          <w:sz w:val="20"/>
          <w:szCs w:val="20"/>
        </w:rPr>
        <w:t xml:space="preserve">State Axioms 1 and 2 precisely, then write a valid argument concluding that a non-negotiable rule cannot be located in the model. Identify the inference rule you use.</w:t>
      </w:r>
    </w:p>
    <w:p>
      <w:pPr>
        <w:spacing w:after="120" w:before="30" w:line="268"/>
        <w:ind w:left="380"/>
      </w:pPr>
      <w:r>
        <w:rPr>
          <w:b/>
          <w:bCs/>
          <w:color w:val="57534A"/>
          <w:sz w:val="19"/>
          <w:szCs w:val="19"/>
        </w:rPr>
        <w:t xml:space="preserve">Model answer.  </w:t>
      </w:r>
      <w:r>
        <w:rPr>
          <w:color w:val="1B1A18"/>
          <w:sz w:val="19"/>
          <w:szCs w:val="19"/>
        </w:rPr>
        <w:t xml:space="preserve">A1: for the class of prohibited events the guarantee must hold on every input (modal ‘never’). A2: model behaviour is not categorical — for some inputs (including adversarial) the prohibited output occurs with non-zero probability. If the ‘never’ is located in the model, there exist inputs on which it fails; a guarantee that fails on some inputs is not a guarantee (A1). Therefore the ‘never’ is not located in the model. Inference: modus tollens. Full marks require the explicit ‘location, not quality’ reading.</w:t>
      </w:r>
    </w:p>
    <w:p>
      <w:pPr>
        <w:spacing w:after="70" w:line="268"/>
        <w:ind w:left="380" w:hanging="260"/>
      </w:pPr>
      <w:r>
        <w:rPr>
          <w:b/>
          <w:bCs/>
          <w:color w:val="33302B"/>
          <w:sz w:val="20"/>
          <w:szCs w:val="20"/>
        </w:rPr>
        <w:t xml:space="preserve">2.  </w:t>
      </w:r>
      <w:r>
        <w:rPr>
          <w:color w:val="1B1A18"/>
          <w:sz w:val="20"/>
          <w:szCs w:val="20"/>
        </w:rPr>
        <w:t xml:space="preserve">Explain why Axioms 3 and 4 together forbid the ‘self-modifying platform’.</w:t>
      </w:r>
    </w:p>
    <w:p>
      <w:pPr>
        <w:spacing w:after="120" w:before="30" w:line="268"/>
        <w:ind w:left="380"/>
      </w:pPr>
      <w:r>
        <w:rPr>
          <w:b/>
          <w:bCs/>
          <w:color w:val="57534A"/>
          <w:sz w:val="19"/>
          <w:szCs w:val="19"/>
        </w:rPr>
        <w:t xml:space="preserve">Model answer.  </w:t>
      </w:r>
      <w:r>
        <w:rPr>
          <w:color w:val="1B1A18"/>
          <w:sz w:val="19"/>
          <w:szCs w:val="19"/>
        </w:rPr>
        <w:t xml:space="preserve">A3: change arrives continuously along four independent axes. A4: each transaction must be provable, which requires enforcement points stable enough to certify. A system that absorbs external change by modifying its invariants is permanently mid-change; each modification reopens prior proofs; hence it cannot satisfy A4 at volume. What remains is a fixed structure through which variable data flows.</w:t>
      </w:r>
    </w:p>
    <w:p>
      <w:pPr>
        <w:spacing w:after="70" w:line="268"/>
        <w:ind w:left="380" w:hanging="260"/>
      </w:pPr>
      <w:r>
        <w:rPr>
          <w:b/>
          <w:bCs/>
          <w:color w:val="33302B"/>
          <w:sz w:val="20"/>
          <w:szCs w:val="20"/>
        </w:rPr>
        <w:t xml:space="preserve">3.  </w:t>
      </w:r>
      <w:r>
        <w:rPr>
          <w:color w:val="1B1A18"/>
          <w:sz w:val="20"/>
          <w:szCs w:val="20"/>
        </w:rPr>
        <w:t xml:space="preserve">Give a concrete adversarial-input scenario instantiating Axiom 2, and identify the structural gate that would contain it.</w:t>
      </w:r>
    </w:p>
    <w:p>
      <w:pPr>
        <w:spacing w:after="120" w:before="30" w:line="268"/>
        <w:ind w:left="380"/>
      </w:pPr>
      <w:r>
        <w:rPr>
          <w:b/>
          <w:bCs/>
          <w:color w:val="57534A"/>
          <w:sz w:val="19"/>
          <w:szCs w:val="19"/>
        </w:rPr>
        <w:t xml:space="preserve">Model answer.  </w:t>
      </w:r>
      <w:r>
        <w:rPr>
          <w:color w:val="1B1A18"/>
          <w:sz w:val="19"/>
          <w:szCs w:val="19"/>
        </w:rPr>
        <w:t xml:space="preserve">E.g. prompt-injection embedded in a retrieved document steering an agent to exfiltrate data. Containing gate: an egress boundary that enforces data scope by origin, independent of the model’s output — the harm is prevented whether or not the model ‘behaved’.</w:t>
      </w:r>
    </w:p>
    <w:p>
      <w:pPr>
        <w:spacing w:after="70" w:line="268"/>
        <w:ind w:left="380" w:hanging="260"/>
      </w:pPr>
      <w:r>
        <w:rPr>
          <w:b/>
          <w:bCs/>
          <w:color w:val="33302B"/>
          <w:sz w:val="20"/>
          <w:szCs w:val="20"/>
        </w:rPr>
        <w:t xml:space="preserve">4.  </w:t>
      </w:r>
      <w:r>
        <w:rPr>
          <w:color w:val="1B1A18"/>
          <w:sz w:val="20"/>
          <w:szCs w:val="20"/>
        </w:rPr>
        <w:t xml:space="preserve">Distinguish ‘alignment’ from ‘architecture’ precisely, and say why both are needed.</w:t>
      </w:r>
    </w:p>
    <w:p>
      <w:pPr>
        <w:spacing w:after="120" w:before="30" w:line="268"/>
        <w:ind w:left="380"/>
      </w:pPr>
      <w:r>
        <w:rPr>
          <w:b/>
          <w:bCs/>
          <w:color w:val="57534A"/>
          <w:sz w:val="19"/>
          <w:szCs w:val="19"/>
        </w:rPr>
        <w:t xml:space="preserve">Model answer.  </w:t>
      </w:r>
      <w:r>
        <w:rPr>
          <w:color w:val="1B1A18"/>
          <w:sz w:val="19"/>
          <w:szCs w:val="19"/>
        </w:rPr>
        <w:t xml:space="preserve">Alignment reduces the frequency of bad outputs — it improves the component and is worth doing. Architecture relocates the guarantee outside the component so it does not depend on the model having behaved. Enterprises need both; only the second is architecture. The distinction is one of location, not of component quality.</w:t>
      </w:r>
    </w:p>
    <w:p>
      <w:r>
        <w:br w:type="page"/>
      </w:r>
    </w:p>
    <w:p>
      <w:pPr>
        <w:pStyle w:val="Heading1"/>
        <w:spacing w:after="130" w:before="300"/>
      </w:pPr>
      <w:r>
        <w:rPr>
          <w:b/>
          <w:bCs/>
          <w:color w:val="33302B"/>
          <w:sz w:val="29"/>
          <w:szCs w:val="29"/>
        </w:rPr>
        <w:t xml:space="preserve">Problem Set 2 — Authority as data; locating the ‘never’</w:t>
      </w:r>
    </w:p>
    <w:p>
      <w:pPr>
        <w:spacing w:after="110" w:line="276"/>
      </w:pPr>
      <w:r>
        <w:rPr>
          <w:color w:val="6E6A62"/>
          <w:sz w:val="20"/>
          <w:szCs w:val="20"/>
        </w:rPr>
        <w:t xml:space="preserve">Set Week 5, due Week 6 · 4 questions · assesses identity-as-data and positional enforcement.</w:t>
      </w:r>
    </w:p>
    <w:p>
      <w:pPr>
        <w:spacing w:after="70" w:line="268"/>
        <w:ind w:left="380" w:hanging="260"/>
      </w:pPr>
      <w:r>
        <w:rPr>
          <w:b/>
          <w:bCs/>
          <w:color w:val="33302B"/>
          <w:sz w:val="20"/>
          <w:szCs w:val="20"/>
        </w:rPr>
        <w:t xml:space="preserve">1.  </w:t>
      </w:r>
      <w:r>
        <w:rPr>
          <w:color w:val="1B1A18"/>
          <w:sz w:val="20"/>
          <w:szCs w:val="20"/>
        </w:rPr>
        <w:t xml:space="preserve">Propose a minimal record schema for delegated authority such that ‘who may decide this, under which delegation’ is answerable by query. Model a two-step delegation chain in your schema.</w:t>
      </w:r>
    </w:p>
    <w:p>
      <w:pPr>
        <w:spacing w:after="120" w:before="30" w:line="268"/>
        <w:ind w:left="380"/>
      </w:pPr>
      <w:r>
        <w:rPr>
          <w:b/>
          <w:bCs/>
          <w:color w:val="57534A"/>
          <w:sz w:val="19"/>
          <w:szCs w:val="19"/>
        </w:rPr>
        <w:t xml:space="preserve">Model answer.  </w:t>
      </w:r>
      <w:r>
        <w:rPr>
          <w:color w:val="1B1A18"/>
          <w:sz w:val="19"/>
          <w:szCs w:val="19"/>
        </w:rPr>
        <w:t xml:space="preserve">A workable schema: (agent_id, capability, scope, limit, granted_by, grant_date, purpose). A two-step chain: officer O holds right R; O grants a bounded portion of R to agent A1 (scope, limit, date); A1’s coordinator grants a narrower portion to A2. Delegation is a chain of such rows; the answer to ‘who may decide’ is a join over the chain.</w:t>
      </w:r>
    </w:p>
    <w:p>
      <w:pPr>
        <w:spacing w:after="70" w:line="268"/>
        <w:ind w:left="380" w:hanging="260"/>
      </w:pPr>
      <w:r>
        <w:rPr>
          <w:b/>
          <w:bCs/>
          <w:color w:val="33302B"/>
          <w:sz w:val="20"/>
          <w:szCs w:val="20"/>
        </w:rPr>
        <w:t xml:space="preserve">2.  </w:t>
      </w:r>
      <w:r>
        <w:rPr>
          <w:color w:val="1B1A18"/>
          <w:sz w:val="20"/>
          <w:szCs w:val="20"/>
        </w:rPr>
        <w:t xml:space="preserve">Write the query (in words or SQL-like form) that returns every agent permitted to approve payments and the authority under which each may do so. State why this matters.</w:t>
      </w:r>
    </w:p>
    <w:p>
      <w:pPr>
        <w:spacing w:after="120" w:before="30" w:line="268"/>
        <w:ind w:left="380"/>
      </w:pPr>
      <w:r>
        <w:rPr>
          <w:b/>
          <w:bCs/>
          <w:color w:val="57534A"/>
          <w:sz w:val="19"/>
          <w:szCs w:val="19"/>
        </w:rPr>
        <w:t xml:space="preserve">Model answer.  </w:t>
      </w:r>
      <w:r>
        <w:rPr>
          <w:color w:val="1B1A18"/>
          <w:sz w:val="19"/>
          <w:szCs w:val="19"/>
        </w:rPr>
        <w:t xml:space="preserve">select agent_id, granted_by, limit from grants where capability = ‘approve_payment’. It matters because ‘who can do what, and who decided that’ becomes a bounded, complete lookup — not an archaeology of a codebase — which is exactly the resolution a regulator asks for.</w:t>
      </w:r>
    </w:p>
    <w:p>
      <w:pPr>
        <w:spacing w:after="70" w:line="268"/>
        <w:ind w:left="380" w:hanging="260"/>
      </w:pPr>
      <w:r>
        <w:rPr>
          <w:b/>
          <w:bCs/>
          <w:color w:val="33302B"/>
          <w:sz w:val="20"/>
          <w:szCs w:val="20"/>
        </w:rPr>
        <w:t xml:space="preserve">3.  </w:t>
      </w:r>
      <w:r>
        <w:rPr>
          <w:color w:val="1B1A18"/>
          <w:sz w:val="20"/>
          <w:szCs w:val="20"/>
        </w:rPr>
        <w:t xml:space="preserve">For the non-negotiable ‘no payment may be released to a credit-frozen counterparty’, locate the enforcement point and explain why a system-prompt instruction is insufficient.</w:t>
      </w:r>
    </w:p>
    <w:p>
      <w:pPr>
        <w:spacing w:after="120" w:before="30" w:line="268"/>
        <w:ind w:left="380"/>
      </w:pPr>
      <w:r>
        <w:rPr>
          <w:b/>
          <w:bCs/>
          <w:color w:val="57534A"/>
          <w:sz w:val="19"/>
          <w:szCs w:val="19"/>
        </w:rPr>
        <w:t xml:space="preserve">Model answer.  </w:t>
      </w:r>
      <w:r>
        <w:rPr>
          <w:color w:val="1B1A18"/>
          <w:sz w:val="19"/>
          <w:szCs w:val="19"/>
        </w:rPr>
        <w:t xml:space="preserve">Enforcement at the payment egress boundary, which consults the freeze structurally and refuses — regardless of which system or agent initiates. A prompt is insufficient by Axiom 2: instructed behaviour is not guaranteed behaviour, so the ‘never’ would hold only ‘usually’.</w:t>
      </w:r>
    </w:p>
    <w:p>
      <w:pPr>
        <w:spacing w:after="70" w:line="268"/>
        <w:ind w:left="380" w:hanging="260"/>
      </w:pPr>
      <w:r>
        <w:rPr>
          <w:b/>
          <w:bCs/>
          <w:color w:val="33302B"/>
          <w:sz w:val="20"/>
          <w:szCs w:val="20"/>
        </w:rPr>
        <w:t xml:space="preserve">4.  </w:t>
      </w:r>
      <w:r>
        <w:rPr>
          <w:color w:val="1B1A18"/>
          <w:sz w:val="20"/>
          <w:szCs w:val="20"/>
        </w:rPr>
        <w:t xml:space="preserve">Explain why authority expressed as records is necessary but not sufficient, and what makes it sufficient.</w:t>
      </w:r>
    </w:p>
    <w:p>
      <w:pPr>
        <w:spacing w:after="120" w:before="30" w:line="268"/>
        <w:ind w:left="380"/>
      </w:pPr>
      <w:r>
        <w:rPr>
          <w:b/>
          <w:bCs/>
          <w:color w:val="57534A"/>
          <w:sz w:val="19"/>
          <w:szCs w:val="19"/>
        </w:rPr>
        <w:t xml:space="preserve">Model answer.  </w:t>
      </w:r>
      <w:r>
        <w:rPr>
          <w:color w:val="1B1A18"/>
          <w:sz w:val="19"/>
          <w:szCs w:val="19"/>
        </w:rPr>
        <w:t xml:space="preserve">Records that merely describe rights are a map, not custody (Chapter 1’s frameworks again). They become sufficient only when the boundary the work crosses consults the row and enforces it — representation joined to enforcement at the seam. An agent’s over-grant action fails because the boundary looked up the row and refused, not because the agent was well instructed.</w:t>
      </w:r>
    </w:p>
    <w:p>
      <w:r>
        <w:br w:type="page"/>
      </w:r>
    </w:p>
    <w:p>
      <w:pPr>
        <w:pStyle w:val="Heading1"/>
        <w:spacing w:after="130" w:before="300"/>
      </w:pPr>
      <w:r>
        <w:rPr>
          <w:b/>
          <w:bCs/>
          <w:color w:val="33302B"/>
          <w:sz w:val="29"/>
          <w:szCs w:val="29"/>
        </w:rPr>
        <w:t xml:space="preserve">Problem Set 3 — Expressibility &amp; the dependency census</w:t>
      </w:r>
    </w:p>
    <w:p>
      <w:pPr>
        <w:spacing w:after="110" w:line="276"/>
      </w:pPr>
      <w:r>
        <w:rPr>
          <w:color w:val="6E6A62"/>
          <w:sz w:val="20"/>
          <w:szCs w:val="20"/>
        </w:rPr>
        <w:t xml:space="preserve">Set Week 7, due Week 10 · 4 questions · assesses isolation-by-construction and sovereignty.</w:t>
      </w:r>
    </w:p>
    <w:p>
      <w:pPr>
        <w:spacing w:after="70" w:line="268"/>
        <w:ind w:left="380" w:hanging="260"/>
      </w:pPr>
      <w:r>
        <w:rPr>
          <w:b/>
          <w:bCs/>
          <w:color w:val="33302B"/>
          <w:sz w:val="20"/>
          <w:szCs w:val="20"/>
        </w:rPr>
        <w:t xml:space="preserve">1.  </w:t>
      </w:r>
      <w:r>
        <w:rPr>
          <w:color w:val="1B1A18"/>
          <w:sz w:val="20"/>
          <w:szCs w:val="20"/>
        </w:rPr>
        <w:t xml:space="preserve">For a supplied multi-tenant design, write the statement that would cross tenants, and determine whether the structure permits expressing it (the expressibility test). What does your answer imply about the isolation?</w:t>
      </w:r>
    </w:p>
    <w:p>
      <w:pPr>
        <w:spacing w:after="120" w:before="30" w:line="268"/>
        <w:ind w:left="380"/>
      </w:pPr>
      <w:r>
        <w:rPr>
          <w:b/>
          <w:bCs/>
          <w:color w:val="57534A"/>
          <w:sz w:val="19"/>
          <w:szCs w:val="19"/>
        </w:rPr>
        <w:t xml:space="preserve">Model answer.  </w:t>
      </w:r>
      <w:r>
        <w:rPr>
          <w:color w:val="1B1A18"/>
          <w:sz w:val="19"/>
          <w:szCs w:val="19"/>
        </w:rPr>
        <w:t xml:space="preserve">If a query or path can name another tenant’s scope as a parameter, isolation is behavioural (it holds ‘usually’). By-construction isolation makes the cross-tenant reference unrepresentable — e.g. tenant scope is bound at the boundary, not accepted as an argument. If engineers can write the crossing statement at all, isolation is not by construction.</w:t>
      </w:r>
    </w:p>
    <w:p>
      <w:pPr>
        <w:spacing w:after="70" w:line="268"/>
        <w:ind w:left="380" w:hanging="260"/>
      </w:pPr>
      <w:r>
        <w:rPr>
          <w:b/>
          <w:bCs/>
          <w:color w:val="33302B"/>
          <w:sz w:val="20"/>
          <w:szCs w:val="20"/>
        </w:rPr>
        <w:t xml:space="preserve">2.  </w:t>
      </w:r>
      <w:r>
        <w:rPr>
          <w:color w:val="1B1A18"/>
          <w:sz w:val="20"/>
          <w:szCs w:val="20"/>
        </w:rPr>
        <w:t xml:space="preserve">Build a dependency census for the supplied architecture and classify each dependency as replaceable or load-bearing, with a one-line justification.</w:t>
      </w:r>
    </w:p>
    <w:p>
      <w:pPr>
        <w:spacing w:after="120" w:before="30" w:line="268"/>
        <w:ind w:left="380"/>
      </w:pPr>
      <w:r>
        <w:rPr>
          <w:b/>
          <w:bCs/>
          <w:color w:val="57534A"/>
          <w:sz w:val="19"/>
          <w:szCs w:val="19"/>
        </w:rPr>
        <w:t xml:space="preserve">Model answer.  </w:t>
      </w:r>
      <w:r>
        <w:rPr>
          <w:color w:val="1B1A18"/>
          <w:sz w:val="19"/>
          <w:szCs w:val="19"/>
        </w:rPr>
        <w:t xml:space="preserve">Census should include model provider, compute/cloud, identity provider, key external data sources, etc. Load-bearing = removal breaks a property (not merely raises cost). Justifications must name the property at risk, not just the inconvenience.</w:t>
      </w:r>
    </w:p>
    <w:p>
      <w:pPr>
        <w:spacing w:after="70" w:line="268"/>
        <w:ind w:left="380" w:hanging="260"/>
      </w:pPr>
      <w:r>
        <w:rPr>
          <w:b/>
          <w:bCs/>
          <w:color w:val="33302B"/>
          <w:sz w:val="20"/>
          <w:szCs w:val="20"/>
        </w:rPr>
        <w:t xml:space="preserve">3.  </w:t>
      </w:r>
      <w:r>
        <w:rPr>
          <w:color w:val="1B1A18"/>
          <w:sz w:val="20"/>
          <w:szCs w:val="20"/>
        </w:rPr>
        <w:t xml:space="preserve">Run the substitution test on the two hardest dependencies: what is the cost of saying ‘no’ to each?</w:t>
      </w:r>
    </w:p>
    <w:p>
      <w:pPr>
        <w:spacing w:after="120" w:before="30" w:line="268"/>
        <w:ind w:left="380"/>
      </w:pPr>
      <w:r>
        <w:rPr>
          <w:b/>
          <w:bCs/>
          <w:color w:val="57534A"/>
          <w:sz w:val="19"/>
          <w:szCs w:val="19"/>
        </w:rPr>
        <w:t xml:space="preserve">Model answer.  </w:t>
      </w:r>
      <w:r>
        <w:rPr>
          <w:color w:val="1B1A18"/>
          <w:sz w:val="19"/>
          <w:szCs w:val="19"/>
        </w:rPr>
        <w:t xml:space="preserve">For each, state the concrete cost and time of substitution. If the honest answer is ‘we cannot’, sovereignty over the affected property is already lost — which is the finding, not a failure of the exercise.</w:t>
      </w:r>
    </w:p>
    <w:p>
      <w:pPr>
        <w:spacing w:after="70" w:line="268"/>
        <w:ind w:left="380" w:hanging="260"/>
      </w:pPr>
      <w:r>
        <w:rPr>
          <w:b/>
          <w:bCs/>
          <w:color w:val="33302B"/>
          <w:sz w:val="20"/>
          <w:szCs w:val="20"/>
        </w:rPr>
        <w:t xml:space="preserve">4.  </w:t>
      </w:r>
      <w:r>
        <w:rPr>
          <w:color w:val="1B1A18"/>
          <w:sz w:val="20"/>
          <w:szCs w:val="20"/>
        </w:rPr>
        <w:t xml:space="preserve">Propose one change that moves a load-bearing dependency onto the variant side of the partition.</w:t>
      </w:r>
    </w:p>
    <w:p>
      <w:pPr>
        <w:spacing w:after="120" w:before="30" w:line="268"/>
        <w:ind w:left="380"/>
      </w:pPr>
      <w:r>
        <w:rPr>
          <w:b/>
          <w:bCs/>
          <w:color w:val="57534A"/>
          <w:sz w:val="19"/>
          <w:szCs w:val="19"/>
        </w:rPr>
        <w:t xml:space="preserve">Model answer.  </w:t>
      </w:r>
      <w:r>
        <w:rPr>
          <w:color w:val="1B1A18"/>
          <w:sz w:val="19"/>
          <w:szCs w:val="19"/>
        </w:rPr>
        <w:t xml:space="preserve">Typical move: place the dependency behind a stable interface so it becomes an administered selection (variant) rather than a structural commitment (invariant) — e.g. model selection as configuration, with the engine invariant. Reward changes that preserve the guarantee while making the party replaceable.</w:t>
      </w:r>
    </w:p>
    <w:p>
      <w:r>
        <w:br w:type="page"/>
      </w:r>
    </w:p>
    <w:p>
      <w:pPr>
        <w:pStyle w:val="Heading1"/>
        <w:spacing w:after="130" w:before="300"/>
      </w:pPr>
      <w:r>
        <w:rPr>
          <w:b/>
          <w:bCs/>
          <w:color w:val="33302B"/>
          <w:sz w:val="29"/>
          <w:szCs w:val="29"/>
        </w:rPr>
        <w:t xml:space="preserve">Assessment A — Consequence-Record Case Analysis</w:t>
      </w:r>
    </w:p>
    <w:p>
      <w:pPr>
        <w:spacing w:after="110" w:line="276"/>
      </w:pPr>
      <w:r>
        <w:rPr>
          <w:color w:val="6E6A62"/>
          <w:sz w:val="20"/>
          <w:szCs w:val="20"/>
        </w:rPr>
        <w:t xml:space="preserve">Due Week 8 · 2,500–3,000 words · 20% · individual.</w:t>
      </w:r>
    </w:p>
    <w:p>
      <w:pPr>
        <w:pStyle w:val="Heading2"/>
        <w:spacing w:after="90" w:before="220"/>
      </w:pPr>
      <w:r>
        <w:rPr>
          <w:b/>
          <w:bCs/>
          <w:color w:val="1B1A18"/>
          <w:sz w:val="23"/>
          <w:szCs w:val="23"/>
        </w:rPr>
        <w:t xml:space="preserve">Brief</w:t>
      </w:r>
    </w:p>
    <w:p>
      <w:pPr>
        <w:spacing w:after="110" w:line="276"/>
      </w:pPr>
      <w:r>
        <w:rPr>
          <w:color w:val="1B1A18"/>
          <w:sz w:val="20"/>
          <w:szCs w:val="20"/>
        </w:rPr>
        <w:t xml:space="preserve">Select a real, documented enterprise or regulatory failure — sourced to courts, regulators, official investigations, or the organisation’s own admissions, never to rumour. Reconstruct it as a consequence record in the book’s style: what happened, which property was not in custody, at which crossing, and what the bill was. Then argue what custody of that property would have required so the failure became structurally impossible rather than merely less likely.</w:t>
      </w:r>
    </w:p>
    <w:p>
      <w:pPr>
        <w:pStyle w:val="Heading2"/>
        <w:spacing w:after="90" w:before="220"/>
      </w:pPr>
      <w:r>
        <w:rPr>
          <w:b/>
          <w:bCs/>
          <w:color w:val="1B1A18"/>
          <w:sz w:val="23"/>
          <w:szCs w:val="23"/>
        </w:rPr>
        <w:t xml:space="preserve">Required structure</w:t>
      </w:r>
    </w:p>
    <w:p>
      <w:pPr>
        <w:spacing w:after="70" w:line="268"/>
        <w:ind w:left="380" w:hanging="260"/>
      </w:pPr>
      <w:r>
        <w:rPr>
          <w:b/>
          <w:bCs/>
          <w:color w:val="33302B"/>
          <w:sz w:val="20"/>
          <w:szCs w:val="20"/>
        </w:rPr>
        <w:t xml:space="preserve">1.  </w:t>
      </w:r>
      <w:r>
        <w:rPr>
          <w:color w:val="1B1A18"/>
          <w:sz w:val="20"/>
          <w:szCs w:val="20"/>
        </w:rPr>
        <w:t xml:space="preserve">What happened — a precise, sourced narrative (with citations to primary sources).</w:t>
      </w:r>
    </w:p>
    <w:p>
      <w:pPr>
        <w:spacing w:after="70" w:line="268"/>
        <w:ind w:left="380" w:hanging="260"/>
      </w:pPr>
      <w:r>
        <w:rPr>
          <w:b/>
          <w:bCs/>
          <w:color w:val="33302B"/>
          <w:sz w:val="20"/>
          <w:szCs w:val="20"/>
        </w:rPr>
        <w:t xml:space="preserve">2.  </w:t>
      </w:r>
      <w:r>
        <w:rPr>
          <w:color w:val="1B1A18"/>
          <w:sz w:val="20"/>
          <w:szCs w:val="20"/>
        </w:rPr>
        <w:t xml:space="preserve">The crossing — identify exactly where the loss occurred and why it was invisible.</w:t>
      </w:r>
    </w:p>
    <w:p>
      <w:pPr>
        <w:spacing w:after="70" w:line="268"/>
        <w:ind w:left="380" w:hanging="260"/>
      </w:pPr>
      <w:r>
        <w:rPr>
          <w:b/>
          <w:bCs/>
          <w:color w:val="33302B"/>
          <w:sz w:val="20"/>
          <w:szCs w:val="20"/>
        </w:rPr>
        <w:t xml:space="preserve">3.  </w:t>
      </w:r>
      <w:r>
        <w:rPr>
          <w:color w:val="1B1A18"/>
          <w:sz w:val="20"/>
          <w:szCs w:val="20"/>
        </w:rPr>
        <w:t xml:space="preserve">The property not in custody — argued from the damage, using the six-property vocabulary.</w:t>
      </w:r>
    </w:p>
    <w:p>
      <w:pPr>
        <w:spacing w:after="70" w:line="268"/>
        <w:ind w:left="380" w:hanging="260"/>
      </w:pPr>
      <w:r>
        <w:rPr>
          <w:b/>
          <w:bCs/>
          <w:color w:val="33302B"/>
          <w:sz w:val="20"/>
          <w:szCs w:val="20"/>
        </w:rPr>
        <w:t xml:space="preserve">4.  </w:t>
      </w:r>
      <w:r>
        <w:rPr>
          <w:color w:val="1B1A18"/>
          <w:sz w:val="20"/>
          <w:szCs w:val="20"/>
        </w:rPr>
        <w:t xml:space="preserve">The bill — the documented consequences.</w:t>
      </w:r>
    </w:p>
    <w:p>
      <w:pPr>
        <w:spacing w:after="70" w:line="268"/>
        <w:ind w:left="380" w:hanging="260"/>
      </w:pPr>
      <w:r>
        <w:rPr>
          <w:b/>
          <w:bCs/>
          <w:color w:val="33302B"/>
          <w:sz w:val="20"/>
          <w:szCs w:val="20"/>
        </w:rPr>
        <w:t xml:space="preserve">5.  </w:t>
      </w:r>
      <w:r>
        <w:rPr>
          <w:color w:val="1B1A18"/>
          <w:sz w:val="20"/>
          <w:szCs w:val="20"/>
        </w:rPr>
        <w:t xml:space="preserve">The counterfactual — what custody would have required, and where it would have been enforced.</w:t>
      </w:r>
    </w:p>
    <w:p>
      <w:pPr>
        <w:pStyle w:val="Heading2"/>
        <w:spacing w:after="90" w:before="220"/>
      </w:pPr>
      <w:r>
        <w:rPr>
          <w:b/>
          <w:bCs/>
          <w:color w:val="1B1A18"/>
          <w:sz w:val="23"/>
          <w:szCs w:val="23"/>
        </w:rPr>
        <w:t xml:space="preserve">Rubric (100 → 20%)</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00"/>
        <w:gridCol w:w="1200"/>
        <w:gridCol w:w="5880"/>
      </w:tblGrid>
      <w:tr>
        <w:trPr>
          <w:tblHeader/>
        </w:trPr>
        <w:tc>
          <w:tcPr>
            <w:tcW w:type="dxa" w:w="3000"/>
            <w:shd w:fill="33302B" w:color="auto" w:val="clear"/>
            <w:tcMar>
              <w:top w:type="dxa" w:w="55"/>
              <w:left w:type="dxa" w:w="90"/>
              <w:bottom w:type="dxa" w:w="55"/>
              <w:right w:type="dxa" w:w="90"/>
            </w:tcMar>
          </w:tcPr>
          <w:p>
            <w:pPr>
              <w:spacing w:after="0" w:line="250"/>
            </w:pPr>
            <w:r>
              <w:rPr>
                <w:b/>
                <w:bCs/>
                <w:color w:val="FFFFFF"/>
                <w:sz w:val="18"/>
                <w:szCs w:val="18"/>
              </w:rPr>
              <w:t xml:space="preserve">Criterion</w:t>
            </w:r>
          </w:p>
        </w:tc>
        <w:tc>
          <w:tcPr>
            <w:tcW w:type="dxa" w:w="1200"/>
            <w:shd w:fill="33302B" w:color="auto" w:val="clear"/>
            <w:tcMar>
              <w:top w:type="dxa" w:w="55"/>
              <w:left w:type="dxa" w:w="90"/>
              <w:bottom w:type="dxa" w:w="55"/>
              <w:right w:type="dxa" w:w="90"/>
            </w:tcMar>
          </w:tcPr>
          <w:p>
            <w:pPr>
              <w:spacing w:after="0" w:line="250"/>
            </w:pPr>
            <w:r>
              <w:rPr>
                <w:b/>
                <w:bCs/>
                <w:color w:val="FFFFFF"/>
                <w:sz w:val="18"/>
                <w:szCs w:val="18"/>
              </w:rPr>
              <w:t xml:space="preserve">Weight</w:t>
            </w:r>
          </w:p>
        </w:tc>
        <w:tc>
          <w:tcPr>
            <w:tcW w:type="dxa" w:w="5880"/>
            <w:shd w:fill="33302B" w:color="auto" w:val="clear"/>
            <w:tcMar>
              <w:top w:type="dxa" w:w="55"/>
              <w:left w:type="dxa" w:w="90"/>
              <w:bottom w:type="dxa" w:w="55"/>
              <w:right w:type="dxa" w:w="90"/>
            </w:tcMar>
          </w:tcPr>
          <w:p>
            <w:pPr>
              <w:spacing w:after="0" w:line="250"/>
            </w:pPr>
            <w:r>
              <w:rPr>
                <w:b/>
                <w:bCs/>
                <w:color w:val="FFFFFF"/>
                <w:sz w:val="18"/>
                <w:szCs w:val="18"/>
              </w:rPr>
              <w:t xml:space="preserve">What excellence looks like</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Sourcing &amp; accuracy</w:t>
            </w:r>
          </w:p>
        </w:tc>
        <w:tc>
          <w:tcPr>
            <w:tcW w:type="dxa" w:w="1200"/>
            <w:shd w:fill="FFFFFF" w:color="auto" w:val="clear"/>
            <w:tcMar>
              <w:top w:type="dxa" w:w="55"/>
              <w:left w:type="dxa" w:w="90"/>
              <w:bottom w:type="dxa" w:w="55"/>
              <w:right w:type="dxa" w:w="90"/>
            </w:tcMar>
          </w:tcPr>
          <w:p>
            <w:pPr>
              <w:spacing w:after="0" w:line="250"/>
            </w:pPr>
            <w:r>
              <w:rPr>
                <w:color w:val="1B1A18"/>
                <w:sz w:val="18"/>
                <w:szCs w:val="18"/>
              </w:rPr>
              <w:t xml:space="preserve">25</w:t>
            </w:r>
          </w:p>
        </w:tc>
        <w:tc>
          <w:tcPr>
            <w:tcW w:type="dxa" w:w="5880"/>
            <w:shd w:fill="FFFFFF" w:color="auto" w:val="clear"/>
            <w:tcMar>
              <w:top w:type="dxa" w:w="55"/>
              <w:left w:type="dxa" w:w="90"/>
              <w:bottom w:type="dxa" w:w="55"/>
              <w:right w:type="dxa" w:w="90"/>
            </w:tcMar>
          </w:tcPr>
          <w:p>
            <w:pPr>
              <w:spacing w:after="0" w:line="250"/>
            </w:pPr>
            <w:r>
              <w:rPr>
                <w:color w:val="1B1A18"/>
                <w:sz w:val="18"/>
                <w:szCs w:val="18"/>
              </w:rPr>
              <w:t xml:space="preserve">Primary sources only; claims precise and verifiable</w:t>
            </w:r>
          </w:p>
        </w:tc>
      </w:tr>
      <w:tr>
        <w:tc>
          <w:tcPr>
            <w:tcW w:type="dxa" w:w="3000"/>
            <w:shd w:fill="F4F2EE" w:color="auto" w:val="clear"/>
            <w:tcMar>
              <w:top w:type="dxa" w:w="55"/>
              <w:left w:type="dxa" w:w="90"/>
              <w:bottom w:type="dxa" w:w="55"/>
              <w:right w:type="dxa" w:w="90"/>
            </w:tcMar>
          </w:tcPr>
          <w:p>
            <w:pPr>
              <w:spacing w:after="0" w:line="250"/>
            </w:pPr>
            <w:r>
              <w:rPr>
                <w:color w:val="1B1A18"/>
                <w:sz w:val="18"/>
                <w:szCs w:val="18"/>
              </w:rPr>
              <w:t xml:space="preserve">Crossing identification</w:t>
            </w:r>
          </w:p>
        </w:tc>
        <w:tc>
          <w:tcPr>
            <w:tcW w:type="dxa" w:w="1200"/>
            <w:shd w:fill="F4F2EE" w:color="auto" w:val="clear"/>
            <w:tcMar>
              <w:top w:type="dxa" w:w="55"/>
              <w:left w:type="dxa" w:w="90"/>
              <w:bottom w:type="dxa" w:w="55"/>
              <w:right w:type="dxa" w:w="90"/>
            </w:tcMar>
          </w:tcPr>
          <w:p>
            <w:pPr>
              <w:spacing w:after="0" w:line="250"/>
            </w:pPr>
            <w:r>
              <w:rPr>
                <w:color w:val="1B1A18"/>
                <w:sz w:val="18"/>
                <w:szCs w:val="18"/>
              </w:rPr>
              <w:t xml:space="preserve">25</w:t>
            </w:r>
          </w:p>
        </w:tc>
        <w:tc>
          <w:tcPr>
            <w:tcW w:type="dxa" w:w="5880"/>
            <w:shd w:fill="F4F2EE" w:color="auto" w:val="clear"/>
            <w:tcMar>
              <w:top w:type="dxa" w:w="55"/>
              <w:left w:type="dxa" w:w="90"/>
              <w:bottom w:type="dxa" w:w="55"/>
              <w:right w:type="dxa" w:w="90"/>
            </w:tcMar>
          </w:tcPr>
          <w:p>
            <w:pPr>
              <w:spacing w:after="0" w:line="250"/>
            </w:pPr>
            <w:r>
              <w:rPr>
                <w:color w:val="1B1A18"/>
                <w:sz w:val="18"/>
                <w:szCs w:val="18"/>
              </w:rPr>
              <w:t xml:space="preserve">The unowned boundary is located exactly, not blamed on a person</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Property analysis</w:t>
            </w:r>
          </w:p>
        </w:tc>
        <w:tc>
          <w:tcPr>
            <w:tcW w:type="dxa" w:w="1200"/>
            <w:shd w:fill="FFFFFF" w:color="auto" w:val="clear"/>
            <w:tcMar>
              <w:top w:type="dxa" w:w="55"/>
              <w:left w:type="dxa" w:w="90"/>
              <w:bottom w:type="dxa" w:w="55"/>
              <w:right w:type="dxa" w:w="90"/>
            </w:tcMar>
          </w:tcPr>
          <w:p>
            <w:pPr>
              <w:spacing w:after="0" w:line="250"/>
            </w:pPr>
            <w:r>
              <w:rPr>
                <w:color w:val="1B1A18"/>
                <w:sz w:val="18"/>
                <w:szCs w:val="18"/>
              </w:rPr>
              <w:t xml:space="preserve">25</w:t>
            </w:r>
          </w:p>
        </w:tc>
        <w:tc>
          <w:tcPr>
            <w:tcW w:type="dxa" w:w="5880"/>
            <w:shd w:fill="FFFFFF" w:color="auto" w:val="clear"/>
            <w:tcMar>
              <w:top w:type="dxa" w:w="55"/>
              <w:left w:type="dxa" w:w="90"/>
              <w:bottom w:type="dxa" w:w="55"/>
              <w:right w:type="dxa" w:w="90"/>
            </w:tcMar>
          </w:tcPr>
          <w:p>
            <w:pPr>
              <w:spacing w:after="0" w:line="250"/>
            </w:pPr>
            <w:r>
              <w:rPr>
                <w:color w:val="1B1A18"/>
                <w:sz w:val="18"/>
                <w:szCs w:val="18"/>
              </w:rPr>
              <w:t xml:space="preserve">The missing property argued rigorously from the symptom</w:t>
            </w:r>
          </w:p>
        </w:tc>
      </w:tr>
      <w:tr>
        <w:tc>
          <w:tcPr>
            <w:tcW w:type="dxa" w:w="3000"/>
            <w:shd w:fill="F4F2EE" w:color="auto" w:val="clear"/>
            <w:tcMar>
              <w:top w:type="dxa" w:w="55"/>
              <w:left w:type="dxa" w:w="90"/>
              <w:bottom w:type="dxa" w:w="55"/>
              <w:right w:type="dxa" w:w="90"/>
            </w:tcMar>
          </w:tcPr>
          <w:p>
            <w:pPr>
              <w:spacing w:after="0" w:line="250"/>
            </w:pPr>
            <w:r>
              <w:rPr>
                <w:color w:val="1B1A18"/>
                <w:sz w:val="18"/>
                <w:szCs w:val="18"/>
              </w:rPr>
              <w:t xml:space="preserve">Counterfactual</w:t>
            </w:r>
          </w:p>
        </w:tc>
        <w:tc>
          <w:tcPr>
            <w:tcW w:type="dxa" w:w="1200"/>
            <w:shd w:fill="F4F2EE" w:color="auto" w:val="clear"/>
            <w:tcMar>
              <w:top w:type="dxa" w:w="55"/>
              <w:left w:type="dxa" w:w="90"/>
              <w:bottom w:type="dxa" w:w="55"/>
              <w:right w:type="dxa" w:w="90"/>
            </w:tcMar>
          </w:tcPr>
          <w:p>
            <w:pPr>
              <w:spacing w:after="0" w:line="250"/>
            </w:pPr>
            <w:r>
              <w:rPr>
                <w:color w:val="1B1A18"/>
                <w:sz w:val="18"/>
                <w:szCs w:val="18"/>
              </w:rPr>
              <w:t xml:space="preserve">15</w:t>
            </w:r>
          </w:p>
        </w:tc>
        <w:tc>
          <w:tcPr>
            <w:tcW w:type="dxa" w:w="5880"/>
            <w:shd w:fill="F4F2EE" w:color="auto" w:val="clear"/>
            <w:tcMar>
              <w:top w:type="dxa" w:w="55"/>
              <w:left w:type="dxa" w:w="90"/>
              <w:bottom w:type="dxa" w:w="55"/>
              <w:right w:type="dxa" w:w="90"/>
            </w:tcMar>
          </w:tcPr>
          <w:p>
            <w:pPr>
              <w:spacing w:after="0" w:line="250"/>
            </w:pPr>
            <w:r>
              <w:rPr>
                <w:color w:val="1B1A18"/>
                <w:sz w:val="18"/>
                <w:szCs w:val="18"/>
              </w:rPr>
              <w:t xml:space="preserve">Custody specified structurally; ‘impossible’ vs ‘less likely’ addressed</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Writing &amp; structure</w:t>
            </w:r>
          </w:p>
        </w:tc>
        <w:tc>
          <w:tcPr>
            <w:tcW w:type="dxa" w:w="1200"/>
            <w:shd w:fill="FFFFFF" w:color="auto" w:val="clear"/>
            <w:tcMar>
              <w:top w:type="dxa" w:w="55"/>
              <w:left w:type="dxa" w:w="90"/>
              <w:bottom w:type="dxa" w:w="55"/>
              <w:right w:type="dxa" w:w="90"/>
            </w:tcMar>
          </w:tcPr>
          <w:p>
            <w:pPr>
              <w:spacing w:after="0" w:line="250"/>
            </w:pPr>
            <w:r>
              <w:rPr>
                <w:color w:val="1B1A18"/>
                <w:sz w:val="18"/>
                <w:szCs w:val="18"/>
              </w:rPr>
              <w:t xml:space="preserve">10</w:t>
            </w:r>
          </w:p>
        </w:tc>
        <w:tc>
          <w:tcPr>
            <w:tcW w:type="dxa" w:w="5880"/>
            <w:shd w:fill="FFFFFF" w:color="auto" w:val="clear"/>
            <w:tcMar>
              <w:top w:type="dxa" w:w="55"/>
              <w:left w:type="dxa" w:w="90"/>
              <w:bottom w:type="dxa" w:w="55"/>
              <w:right w:type="dxa" w:w="90"/>
            </w:tcMar>
          </w:tcPr>
          <w:p>
            <w:pPr>
              <w:spacing w:after="0" w:line="250"/>
            </w:pPr>
            <w:r>
              <w:rPr>
                <w:color w:val="1B1A18"/>
                <w:sz w:val="18"/>
                <w:szCs w:val="18"/>
              </w:rPr>
              <w:t xml:space="preserve">Clear, disciplined, correctly cited</w:t>
            </w:r>
          </w:p>
        </w:tc>
      </w:tr>
    </w:tbl>
    <w:p>
      <w:r>
        <w:br w:type="page"/>
      </w:r>
    </w:p>
    <w:p>
      <w:pPr>
        <w:pStyle w:val="Heading1"/>
        <w:spacing w:after="130" w:before="300"/>
      </w:pPr>
      <w:r>
        <w:rPr>
          <w:b/>
          <w:bCs/>
          <w:color w:val="33302B"/>
          <w:sz w:val="29"/>
          <w:szCs w:val="29"/>
        </w:rPr>
        <w:t xml:space="preserve">Assessment B — Reference-Architecture Critique</w:t>
      </w:r>
    </w:p>
    <w:p>
      <w:pPr>
        <w:spacing w:after="110" w:line="276"/>
      </w:pPr>
      <w:r>
        <w:rPr>
          <w:color w:val="6E6A62"/>
          <w:sz w:val="20"/>
          <w:szCs w:val="20"/>
        </w:rPr>
        <w:t xml:space="preserve">Due Week 12 · 3,000–3,500 words · 20% · individual.</w:t>
      </w:r>
    </w:p>
    <w:p>
      <w:pPr>
        <w:pStyle w:val="Heading2"/>
        <w:spacing w:after="90" w:before="220"/>
      </w:pPr>
      <w:r>
        <w:rPr>
          <w:b/>
          <w:bCs/>
          <w:color w:val="1B1A18"/>
          <w:sz w:val="23"/>
          <w:szCs w:val="23"/>
        </w:rPr>
        <w:t xml:space="preserve">Brief</w:t>
      </w:r>
    </w:p>
    <w:p>
      <w:pPr>
        <w:spacing w:after="110" w:line="276"/>
      </w:pPr>
      <w:r>
        <w:rPr>
          <w:color w:val="1B1A18"/>
          <w:sz w:val="20"/>
          <w:szCs w:val="20"/>
        </w:rPr>
        <w:t xml:space="preserve">Choose a published reference architecture, a vendor’s described platform, or a supplied case, and run the book’s nine-test evaluation protocol against it. Produce a per-test verdict with the evidence (or its absence) you would demand, an overall custody assessment, and a short reflection on where the protocol itself was hardest to apply. No source code is required — every verdict must rest on a demonstration against structure, not on marketing claims.</w:t>
      </w:r>
    </w:p>
    <w:p>
      <w:pPr>
        <w:pStyle w:val="Heading2"/>
        <w:spacing w:after="90" w:before="220"/>
      </w:pPr>
      <w:r>
        <w:rPr>
          <w:b/>
          <w:bCs/>
          <w:color w:val="1B1A18"/>
          <w:sz w:val="23"/>
          <w:szCs w:val="23"/>
        </w:rPr>
        <w:t xml:space="preserve">Required structure</w:t>
      </w:r>
    </w:p>
    <w:p>
      <w:pPr>
        <w:spacing w:after="70" w:line="268"/>
        <w:ind w:left="380" w:hanging="260"/>
      </w:pPr>
      <w:r>
        <w:rPr>
          <w:b/>
          <w:bCs/>
          <w:color w:val="33302B"/>
          <w:sz w:val="20"/>
          <w:szCs w:val="20"/>
        </w:rPr>
        <w:t xml:space="preserve">1.  </w:t>
      </w:r>
      <w:r>
        <w:rPr>
          <w:color w:val="1B1A18"/>
          <w:sz w:val="20"/>
          <w:szCs w:val="20"/>
        </w:rPr>
        <w:t xml:space="preserve">The target and how you scoped it.</w:t>
      </w:r>
    </w:p>
    <w:p>
      <w:pPr>
        <w:spacing w:after="70" w:line="268"/>
        <w:ind w:left="380" w:hanging="260"/>
      </w:pPr>
      <w:r>
        <w:rPr>
          <w:b/>
          <w:bCs/>
          <w:color w:val="33302B"/>
          <w:sz w:val="20"/>
          <w:szCs w:val="20"/>
        </w:rPr>
        <w:t xml:space="preserve">2.  </w:t>
      </w:r>
      <w:r>
        <w:rPr>
          <w:color w:val="1B1A18"/>
          <w:sz w:val="20"/>
          <w:szCs w:val="20"/>
        </w:rPr>
        <w:t xml:space="preserve">The single-clause specification: show the crossing, and show what survives it.</w:t>
      </w:r>
    </w:p>
    <w:p>
      <w:pPr>
        <w:spacing w:after="70" w:line="268"/>
        <w:ind w:left="380" w:hanging="260"/>
      </w:pPr>
      <w:r>
        <w:rPr>
          <w:b/>
          <w:bCs/>
          <w:color w:val="33302B"/>
          <w:sz w:val="20"/>
          <w:szCs w:val="20"/>
        </w:rPr>
        <w:t xml:space="preserve">3.  </w:t>
      </w:r>
      <w:r>
        <w:rPr>
          <w:color w:val="1B1A18"/>
          <w:sz w:val="20"/>
          <w:szCs w:val="20"/>
        </w:rPr>
        <w:t xml:space="preserve">Per-test verdicts: onboarding, address, expressibility, origin, dependency, substitution, last-month, two-invoices, outlive.</w:t>
      </w:r>
    </w:p>
    <w:p>
      <w:pPr>
        <w:spacing w:after="70" w:line="268"/>
        <w:ind w:left="380" w:hanging="260"/>
      </w:pPr>
      <w:r>
        <w:rPr>
          <w:b/>
          <w:bCs/>
          <w:color w:val="33302B"/>
          <w:sz w:val="20"/>
          <w:szCs w:val="20"/>
        </w:rPr>
        <w:t xml:space="preserve">4.  </w:t>
      </w:r>
      <w:r>
        <w:rPr>
          <w:color w:val="1B1A18"/>
          <w:sz w:val="20"/>
          <w:szCs w:val="20"/>
        </w:rPr>
        <w:t xml:space="preserve">Overall custody assessment and the two changes that would most improve it.</w:t>
      </w:r>
    </w:p>
    <w:p>
      <w:pPr>
        <w:spacing w:after="70" w:line="268"/>
        <w:ind w:left="380" w:hanging="260"/>
      </w:pPr>
      <w:r>
        <w:rPr>
          <w:b/>
          <w:bCs/>
          <w:color w:val="33302B"/>
          <w:sz w:val="20"/>
          <w:szCs w:val="20"/>
        </w:rPr>
        <w:t xml:space="preserve">5.  </w:t>
      </w:r>
      <w:r>
        <w:rPr>
          <w:color w:val="1B1A18"/>
          <w:sz w:val="20"/>
          <w:szCs w:val="20"/>
        </w:rPr>
        <w:t xml:space="preserve">Reflection: where the protocol bit hardest, and any test that was hard to apply.</w:t>
      </w:r>
    </w:p>
    <w:p>
      <w:pPr>
        <w:pStyle w:val="Heading2"/>
        <w:spacing w:after="90" w:before="220"/>
      </w:pPr>
      <w:r>
        <w:rPr>
          <w:b/>
          <w:bCs/>
          <w:color w:val="1B1A18"/>
          <w:sz w:val="23"/>
          <w:szCs w:val="23"/>
        </w:rPr>
        <w:t xml:space="preserve">Rubric (100 → 20%)</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600"/>
        <w:gridCol w:w="1200"/>
        <w:gridCol w:w="5280"/>
      </w:tblGrid>
      <w:tr>
        <w:trPr>
          <w:tblHeader/>
        </w:trPr>
        <w:tc>
          <w:tcPr>
            <w:tcW w:type="dxa" w:w="3600"/>
            <w:shd w:fill="33302B" w:color="auto" w:val="clear"/>
            <w:tcMar>
              <w:top w:type="dxa" w:w="55"/>
              <w:left w:type="dxa" w:w="90"/>
              <w:bottom w:type="dxa" w:w="55"/>
              <w:right w:type="dxa" w:w="90"/>
            </w:tcMar>
          </w:tcPr>
          <w:p>
            <w:pPr>
              <w:spacing w:after="0" w:line="250"/>
            </w:pPr>
            <w:r>
              <w:rPr>
                <w:b/>
                <w:bCs/>
                <w:color w:val="FFFFFF"/>
                <w:sz w:val="18"/>
                <w:szCs w:val="18"/>
              </w:rPr>
              <w:t xml:space="preserve">Criterion</w:t>
            </w:r>
          </w:p>
        </w:tc>
        <w:tc>
          <w:tcPr>
            <w:tcW w:type="dxa" w:w="1200"/>
            <w:shd w:fill="33302B" w:color="auto" w:val="clear"/>
            <w:tcMar>
              <w:top w:type="dxa" w:w="55"/>
              <w:left w:type="dxa" w:w="90"/>
              <w:bottom w:type="dxa" w:w="55"/>
              <w:right w:type="dxa" w:w="90"/>
            </w:tcMar>
          </w:tcPr>
          <w:p>
            <w:pPr>
              <w:spacing w:after="0" w:line="250"/>
            </w:pPr>
            <w:r>
              <w:rPr>
                <w:b/>
                <w:bCs/>
                <w:color w:val="FFFFFF"/>
                <w:sz w:val="18"/>
                <w:szCs w:val="18"/>
              </w:rPr>
              <w:t xml:space="preserve">Weight</w:t>
            </w:r>
          </w:p>
        </w:tc>
        <w:tc>
          <w:tcPr>
            <w:tcW w:type="dxa" w:w="5280"/>
            <w:shd w:fill="33302B" w:color="auto" w:val="clear"/>
            <w:tcMar>
              <w:top w:type="dxa" w:w="55"/>
              <w:left w:type="dxa" w:w="90"/>
              <w:bottom w:type="dxa" w:w="55"/>
              <w:right w:type="dxa" w:w="90"/>
            </w:tcMar>
          </w:tcPr>
          <w:p>
            <w:pPr>
              <w:spacing w:after="0" w:line="250"/>
            </w:pPr>
            <w:r>
              <w:rPr>
                <w:b/>
                <w:bCs/>
                <w:color w:val="FFFFFF"/>
                <w:sz w:val="18"/>
                <w:szCs w:val="18"/>
              </w:rPr>
              <w:t xml:space="preserve">What excellence looks like</w:t>
            </w:r>
          </w:p>
        </w:tc>
      </w:tr>
      <w:tr>
        <w:tc>
          <w:tcPr>
            <w:tcW w:type="dxa" w:w="3600"/>
            <w:shd w:fill="FFFFFF" w:color="auto" w:val="clear"/>
            <w:tcMar>
              <w:top w:type="dxa" w:w="55"/>
              <w:left w:type="dxa" w:w="90"/>
              <w:bottom w:type="dxa" w:w="55"/>
              <w:right w:type="dxa" w:w="90"/>
            </w:tcMar>
          </w:tcPr>
          <w:p>
            <w:pPr>
              <w:spacing w:after="0" w:line="250"/>
            </w:pPr>
            <w:r>
              <w:rPr>
                <w:color w:val="1B1A18"/>
                <w:sz w:val="18"/>
                <w:szCs w:val="18"/>
              </w:rPr>
              <w:t xml:space="preserve">Correct application of the protocol</w:t>
            </w:r>
          </w:p>
        </w:tc>
        <w:tc>
          <w:tcPr>
            <w:tcW w:type="dxa" w:w="1200"/>
            <w:shd w:fill="FFFFFF" w:color="auto" w:val="clear"/>
            <w:tcMar>
              <w:top w:type="dxa" w:w="55"/>
              <w:left w:type="dxa" w:w="90"/>
              <w:bottom w:type="dxa" w:w="55"/>
              <w:right w:type="dxa" w:w="90"/>
            </w:tcMar>
          </w:tcPr>
          <w:p>
            <w:pPr>
              <w:spacing w:after="0" w:line="250"/>
            </w:pPr>
            <w:r>
              <w:rPr>
                <w:color w:val="1B1A18"/>
                <w:sz w:val="18"/>
                <w:szCs w:val="18"/>
              </w:rPr>
              <w:t xml:space="preserve">35</w:t>
            </w:r>
          </w:p>
        </w:tc>
        <w:tc>
          <w:tcPr>
            <w:tcW w:type="dxa" w:w="5280"/>
            <w:shd w:fill="FFFFFF" w:color="auto" w:val="clear"/>
            <w:tcMar>
              <w:top w:type="dxa" w:w="55"/>
              <w:left w:type="dxa" w:w="90"/>
              <w:bottom w:type="dxa" w:w="55"/>
              <w:right w:type="dxa" w:w="90"/>
            </w:tcMar>
          </w:tcPr>
          <w:p>
            <w:pPr>
              <w:spacing w:after="0" w:line="250"/>
            </w:pPr>
            <w:r>
              <w:rPr>
                <w:color w:val="1B1A18"/>
                <w:sz w:val="18"/>
                <w:szCs w:val="18"/>
              </w:rPr>
              <w:t xml:space="preserve">Each test applied faithfully; verdicts demand structural demonstration</w:t>
            </w:r>
          </w:p>
        </w:tc>
      </w:tr>
      <w:tr>
        <w:tc>
          <w:tcPr>
            <w:tcW w:type="dxa" w:w="3600"/>
            <w:shd w:fill="F4F2EE" w:color="auto" w:val="clear"/>
            <w:tcMar>
              <w:top w:type="dxa" w:w="55"/>
              <w:left w:type="dxa" w:w="90"/>
              <w:bottom w:type="dxa" w:w="55"/>
              <w:right w:type="dxa" w:w="90"/>
            </w:tcMar>
          </w:tcPr>
          <w:p>
            <w:pPr>
              <w:spacing w:after="0" w:line="250"/>
            </w:pPr>
            <w:r>
              <w:rPr>
                <w:color w:val="1B1A18"/>
                <w:sz w:val="18"/>
                <w:szCs w:val="18"/>
              </w:rPr>
              <w:t xml:space="preserve">Evidence discipline</w:t>
            </w:r>
          </w:p>
        </w:tc>
        <w:tc>
          <w:tcPr>
            <w:tcW w:type="dxa" w:w="1200"/>
            <w:shd w:fill="F4F2EE" w:color="auto" w:val="clear"/>
            <w:tcMar>
              <w:top w:type="dxa" w:w="55"/>
              <w:left w:type="dxa" w:w="90"/>
              <w:bottom w:type="dxa" w:w="55"/>
              <w:right w:type="dxa" w:w="90"/>
            </w:tcMar>
          </w:tcPr>
          <w:p>
            <w:pPr>
              <w:spacing w:after="0" w:line="250"/>
            </w:pPr>
            <w:r>
              <w:rPr>
                <w:color w:val="1B1A18"/>
                <w:sz w:val="18"/>
                <w:szCs w:val="18"/>
              </w:rPr>
              <w:t xml:space="preserve">25</w:t>
            </w:r>
          </w:p>
        </w:tc>
        <w:tc>
          <w:tcPr>
            <w:tcW w:type="dxa" w:w="5280"/>
            <w:shd w:fill="F4F2EE" w:color="auto" w:val="clear"/>
            <w:tcMar>
              <w:top w:type="dxa" w:w="55"/>
              <w:left w:type="dxa" w:w="90"/>
              <w:bottom w:type="dxa" w:w="55"/>
              <w:right w:type="dxa" w:w="90"/>
            </w:tcMar>
          </w:tcPr>
          <w:p>
            <w:pPr>
              <w:spacing w:after="0" w:line="250"/>
            </w:pPr>
            <w:r>
              <w:rPr>
                <w:color w:val="1B1A18"/>
                <w:sz w:val="18"/>
                <w:szCs w:val="18"/>
              </w:rPr>
              <w:t xml:space="preserve">Claims rest on demonstrations, not slides; gaps named honestly</w:t>
            </w:r>
          </w:p>
        </w:tc>
      </w:tr>
      <w:tr>
        <w:tc>
          <w:tcPr>
            <w:tcW w:type="dxa" w:w="3600"/>
            <w:shd w:fill="FFFFFF" w:color="auto" w:val="clear"/>
            <w:tcMar>
              <w:top w:type="dxa" w:w="55"/>
              <w:left w:type="dxa" w:w="90"/>
              <w:bottom w:type="dxa" w:w="55"/>
              <w:right w:type="dxa" w:w="90"/>
            </w:tcMar>
          </w:tcPr>
          <w:p>
            <w:pPr>
              <w:spacing w:after="0" w:line="250"/>
            </w:pPr>
            <w:r>
              <w:rPr>
                <w:color w:val="1B1A18"/>
                <w:sz w:val="18"/>
                <w:szCs w:val="18"/>
              </w:rPr>
              <w:t xml:space="preserve">Judgement</w:t>
            </w:r>
          </w:p>
        </w:tc>
        <w:tc>
          <w:tcPr>
            <w:tcW w:type="dxa" w:w="1200"/>
            <w:shd w:fill="FFFFFF" w:color="auto" w:val="clear"/>
            <w:tcMar>
              <w:top w:type="dxa" w:w="55"/>
              <w:left w:type="dxa" w:w="90"/>
              <w:bottom w:type="dxa" w:w="55"/>
              <w:right w:type="dxa" w:w="90"/>
            </w:tcMar>
          </w:tcPr>
          <w:p>
            <w:pPr>
              <w:spacing w:after="0" w:line="250"/>
            </w:pPr>
            <w:r>
              <w:rPr>
                <w:color w:val="1B1A18"/>
                <w:sz w:val="18"/>
                <w:szCs w:val="18"/>
              </w:rPr>
              <w:t xml:space="preserve">25</w:t>
            </w:r>
          </w:p>
        </w:tc>
        <w:tc>
          <w:tcPr>
            <w:tcW w:type="dxa" w:w="5280"/>
            <w:shd w:fill="FFFFFF" w:color="auto" w:val="clear"/>
            <w:tcMar>
              <w:top w:type="dxa" w:w="55"/>
              <w:left w:type="dxa" w:w="90"/>
              <w:bottom w:type="dxa" w:w="55"/>
              <w:right w:type="dxa" w:w="90"/>
            </w:tcMar>
          </w:tcPr>
          <w:p>
            <w:pPr>
              <w:spacing w:after="0" w:line="250"/>
            </w:pPr>
            <w:r>
              <w:rPr>
                <w:color w:val="1B1A18"/>
                <w:sz w:val="18"/>
                <w:szCs w:val="18"/>
              </w:rPr>
              <w:t xml:space="preserve">Overall assessment defensible; the two improvements are the right ones</w:t>
            </w:r>
          </w:p>
        </w:tc>
      </w:tr>
      <w:tr>
        <w:tc>
          <w:tcPr>
            <w:tcW w:type="dxa" w:w="3600"/>
            <w:shd w:fill="F4F2EE" w:color="auto" w:val="clear"/>
            <w:tcMar>
              <w:top w:type="dxa" w:w="55"/>
              <w:left w:type="dxa" w:w="90"/>
              <w:bottom w:type="dxa" w:w="55"/>
              <w:right w:type="dxa" w:w="90"/>
            </w:tcMar>
          </w:tcPr>
          <w:p>
            <w:pPr>
              <w:spacing w:after="0" w:line="250"/>
            </w:pPr>
            <w:r>
              <w:rPr>
                <w:color w:val="1B1A18"/>
                <w:sz w:val="18"/>
                <w:szCs w:val="18"/>
              </w:rPr>
              <w:t xml:space="preserve">Reflection &amp; writing</w:t>
            </w:r>
          </w:p>
        </w:tc>
        <w:tc>
          <w:tcPr>
            <w:tcW w:type="dxa" w:w="1200"/>
            <w:shd w:fill="F4F2EE" w:color="auto" w:val="clear"/>
            <w:tcMar>
              <w:top w:type="dxa" w:w="55"/>
              <w:left w:type="dxa" w:w="90"/>
              <w:bottom w:type="dxa" w:w="55"/>
              <w:right w:type="dxa" w:w="90"/>
            </w:tcMar>
          </w:tcPr>
          <w:p>
            <w:pPr>
              <w:spacing w:after="0" w:line="250"/>
            </w:pPr>
            <w:r>
              <w:rPr>
                <w:color w:val="1B1A18"/>
                <w:sz w:val="18"/>
                <w:szCs w:val="18"/>
              </w:rPr>
              <w:t xml:space="preserve">15</w:t>
            </w:r>
          </w:p>
        </w:tc>
        <w:tc>
          <w:tcPr>
            <w:tcW w:type="dxa" w:w="5280"/>
            <w:shd w:fill="F4F2EE" w:color="auto" w:val="clear"/>
            <w:tcMar>
              <w:top w:type="dxa" w:w="55"/>
              <w:left w:type="dxa" w:w="90"/>
              <w:bottom w:type="dxa" w:w="55"/>
              <w:right w:type="dxa" w:w="90"/>
            </w:tcMar>
          </w:tcPr>
          <w:p>
            <w:pPr>
              <w:spacing w:after="0" w:line="250"/>
            </w:pPr>
            <w:r>
              <w:rPr>
                <w:color w:val="1B1A18"/>
                <w:sz w:val="18"/>
                <w:szCs w:val="18"/>
              </w:rPr>
              <w:t xml:space="preserve">Genuine reflection; clear, well-structured prose</w:t>
            </w:r>
          </w:p>
        </w:tc>
      </w:tr>
    </w:tbl>
    <w:p>
      <w:pPr>
        <w:spacing w:after="110" w:line="276"/>
      </w:pPr>
      <w:r>
        <w:rPr>
          <w:i/>
          <w:iCs/>
          <w:color w:val="6E6A62"/>
          <w:sz w:val="20"/>
          <w:szCs w:val="20"/>
        </w:rPr>
        <w:t xml:space="preserve">Integrity note: the protocol must bite regardless of whose architecture is under test — including any the student favours. Reward critiques that run hardest against the target whose vocabulary matches the book best.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MSc — Custody Architecture for Agentic Enterprises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Problem Sets &amp; Assessments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Problem Sets &amp; Assessments</dc:title>
  <dc:creator>MudoZangl — MSc course materials</dc:creator>
  <cp:lastModifiedBy>Un-named</cp:lastModifiedBy>
  <cp:revision>1</cp:revision>
  <dcterms:created xsi:type="dcterms:W3CDTF">2026-08-16T05:30:55.023Z</dcterms:created>
  <dcterms:modified xsi:type="dcterms:W3CDTF">2026-08-16T05:30:55.023Z</dcterms:modified>
</cp:coreProperties>
</file>

<file path=docProps/custom.xml><?xml version="1.0" encoding="utf-8"?>
<Properties xmlns="http://schemas.openxmlformats.org/officeDocument/2006/custom-properties" xmlns:vt="http://schemas.openxmlformats.org/officeDocument/2006/docPropsVTypes"/>
</file>