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aps/>
          <w:color w:val="33302B"/>
          <w:spacing w:val="40"/>
          <w:sz w:val="21"/>
          <w:szCs w:val="21"/>
        </w:rPr>
        <w:t xml:space="preserve">Master of Science · Core graduate seminar</w:t>
      </w:r>
    </w:p>
    <w:p>
      <w:pPr>
        <w:pBdr>
          <w:bottom w:val="single" w:color="33302B" w:sz="12"/>
        </w:pBdr>
        <w:spacing w:after="120"/>
        <w:jc w:val="center"/>
      </w:pPr>
      <w:r>
        <w:rPr>
          <w:b/>
          <w:bCs/>
          <w:color w:val="1B1A18"/>
          <w:sz w:val="45"/>
          <w:szCs w:val="45"/>
        </w:rPr>
        <w:t xml:space="preserve">Custody Architecture for Agentic Enterprises</w:t>
      </w:r>
    </w:p>
    <w:p>
      <w:pPr>
        <w:spacing w:after="60" w:before="140"/>
        <w:jc w:val="center"/>
      </w:pPr>
      <w:r>
        <w:rPr>
          <w:i/>
          <w:iCs/>
          <w:color w:val="6E6A62"/>
          <w:sz w:val="23"/>
          <w:szCs w:val="23"/>
        </w:rPr>
        <w:t xml:space="preserve">Deriving Enterprise Architecture from First Principles</w:t>
      </w:r>
    </w:p>
    <w:p>
      <w:pPr>
        <w:spacing w:after="40" w:before="60"/>
        <w:jc w:val="center"/>
      </w:pPr>
      <w:r>
        <w:rPr>
          <w:color w:val="6E6A62"/>
          <w:sz w:val="19"/>
          <w:szCs w:val="19"/>
        </w:rPr>
        <w:t xml:space="preserve">Course syllabus — adapted from the book</w:t>
      </w:r>
    </w:p>
    <w:p>
      <w:pPr>
        <w:spacing w:after="40"/>
        <w:jc w:val="center"/>
      </w:pPr>
      <w:r>
        <w:rPr>
          <w:b/>
          <w:bCs/>
          <w:i/>
          <w:iCs/>
          <w:color w:val="33302B"/>
          <w:sz w:val="21"/>
          <w:szCs w:val="21"/>
        </w:rPr>
        <w:t xml:space="preserve">What the Structure Does Not Carry</w:t>
      </w:r>
    </w:p>
    <w:p>
      <w:pPr>
        <w:spacing w:after="260"/>
        <w:jc w:val="center"/>
      </w:pPr>
      <w:r>
        <w:rPr>
          <w:color w:val="6E6A62"/>
          <w:sz w:val="17"/>
          <w:szCs w:val="17"/>
        </w:rPr>
        <w:t xml:space="preserve">Georg Zangl  ·  Foreword by Egbert U. Imomoh  ·  2026</w:t>
      </w:r>
    </w:p>
    <w:p>
      <w:pPr>
        <w:pStyle w:val="Heading1"/>
        <w:spacing w:after="140" w:before="320"/>
      </w:pPr>
      <w:r>
        <w:rPr>
          <w:b/>
          <w:bCs/>
          <w:color w:val="33302B"/>
          <w:sz w:val="29"/>
          <w:szCs w:val="29"/>
        </w:rPr>
        <w:t xml:space="preserve">Course overview</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024"/>
        <w:gridCol w:w="7056"/>
      </w:tblGrid>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Course code</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CS/IS 5720 (suggested)</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Level</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Graduate (MSc in Enterprise Architecture / AI Systems / Information Systems)</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Credits</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6 ECTS  (≈ 3 U.S. graduate credits)</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Duration</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13 weeks · weekly 3-hour block: 90-min seminar + 75-min derivation lab</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Format</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Discussion-intensive seminar, derivation labs, individual capstone</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Prerequisites</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Graduate standing; prior exposure to software architecture, distributed systems, or enterprise IT; working familiarity with LLM-based systems recommended</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Instructor</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[Instructor name] · [email] · Office hours: [time / location]</w:t>
            </w:r>
          </w:p>
        </w:tc>
      </w:tr>
    </w:tbl>
    <w:p>
      <w:pPr>
        <w:spacing w:after="60"/>
      </w:pPr>
    </w:p>
    <w:p>
      <w:pPr>
        <w:pStyle w:val="Heading2"/>
        <w:spacing w:after="100" w:before="240"/>
      </w:pPr>
      <w:r>
        <w:rPr>
          <w:b/>
          <w:bCs/>
          <w:color w:val="1B1A18"/>
          <w:sz w:val="23"/>
          <w:szCs w:val="23"/>
        </w:rPr>
        <w:t xml:space="preserve">About the source text</w:t>
      </w:r>
    </w:p>
    <w:p>
      <w:pPr>
        <w:spacing w:after="120" w:line="276"/>
      </w:pPr>
      <w:r>
        <w:rPr>
          <w:i/>
          <w:iCs/>
          <w:color w:val="1B1A18"/>
          <w:sz w:val="20"/>
          <w:szCs w:val="20"/>
        </w:rPr>
        <w:t xml:space="preserve">What the Structure Does Not Carry</w:t>
      </w:r>
      <w:r>
        <w:rPr>
          <w:color w:val="1B1A18"/>
          <w:sz w:val="20"/>
          <w:szCs w:val="20"/>
        </w:rPr>
        <w:t xml:space="preserve"> argues that an enterprise is not its systems but a small set of properties that must survive every boundary a piece of work crosses: </w:t>
      </w:r>
      <w:r>
        <w:rPr>
          <w:b/>
          <w:bCs/>
          <w:color w:val="1B1A18"/>
          <w:sz w:val="20"/>
          <w:szCs w:val="20"/>
        </w:rPr>
        <w:t xml:space="preserve">context, authority, accountability, coordination, execution coherence, and institutional memory</w:t>
      </w:r>
      <w:r>
        <w:rPr>
          <w:color w:val="1B1A18"/>
          <w:sz w:val="20"/>
          <w:szCs w:val="20"/>
        </w:rPr>
        <w:t xml:space="preserve">. For four decades a hidden layer of people carried those properties by hand across the gaps in every architecture diagram. Agentic AI does not create a new requirement — it withdraws that subsidy. The book states the governing law (</w:t>
      </w:r>
      <w:r>
        <w:rPr>
          <w:i/>
          <w:iCs/>
          <w:color w:val="1B1A18"/>
          <w:sz w:val="20"/>
          <w:szCs w:val="20"/>
        </w:rPr>
        <w:t xml:space="preserve">enterprise architecture is the custody of organisational properties under movement</w:t>
      </w:r>
      <w:r>
        <w:rPr>
          <w:color w:val="1B1A18"/>
          <w:sz w:val="20"/>
          <w:szCs w:val="20"/>
        </w:rPr>
        <w:t xml:space="preserve">), derives what any structure must do to satisfy it, and closes with an evaluation protocol and a set of custody rules. This course is built directly on that spine.</w:t>
      </w:r>
    </w:p>
    <w:p>
      <w:pPr>
        <w:spacing w:after="120" w:line="276"/>
      </w:pPr>
      <w:r>
        <w:rPr>
          <w:i/>
          <w:iCs/>
          <w:color w:val="6E6A62"/>
          <w:sz w:val="20"/>
          <w:szCs w:val="20"/>
        </w:rPr>
        <w:t xml:space="preserve">This master's-level version treats the book as a formal argument to be reconstructed, stress-tested, and extended. Students derive the six properties and four axioms, defend the derivations in seminar, and apply the evaluation protocol to real architectures.</w:t>
      </w:r>
    </w:p>
    <w:p>
      <w:pPr>
        <w:pStyle w:val="Heading1"/>
        <w:spacing w:after="140" w:before="320"/>
      </w:pPr>
      <w:r>
        <w:rPr>
          <w:b/>
          <w:bCs/>
          <w:color w:val="33302B"/>
          <w:sz w:val="29"/>
          <w:szCs w:val="29"/>
        </w:rPr>
        <w:t xml:space="preserve">Course description</w:t>
      </w:r>
    </w:p>
    <w:p>
      <w:pPr>
        <w:spacing w:after="120" w:line="276"/>
      </w:pPr>
      <w:r>
        <w:rPr>
          <w:color w:val="1B1A18"/>
          <w:sz w:val="20"/>
          <w:szCs w:val="20"/>
        </w:rPr>
        <w:t xml:space="preserve">This seminar rebuilds enterprise architecture from a single conserved-quantity argument. Rather than surveying tools or reference stacks, students treat the enterprise as an engineer treats a plant: they identify the quantities that must balance across every boundary, state the conservation law they obey, and derive what any structure must look like to satisfy it. Each week pairs a seminar with a derivation lab in which students reconstruct that week’s argument from first principles, attack it adversarially, and test it against documented failures. The course is deliberately technology-neutral — no vendor stacks, no reference architecture — because its claim is that principles which cannot be stated without the technology were never principles. Students finish able to evaluate any agentic-AI architecture against a rigorous, source-code-free protocol and to defend a custody-architecture proposal of their own.</w:t>
      </w:r>
    </w:p>
    <w:p>
      <w:pPr>
        <w:pStyle w:val="Heading1"/>
        <w:spacing w:after="140" w:before="320"/>
      </w:pPr>
      <w:r>
        <w:rPr>
          <w:b/>
          <w:bCs/>
          <w:color w:val="33302B"/>
          <w:sz w:val="29"/>
          <w:szCs w:val="29"/>
        </w:rPr>
        <w:t xml:space="preserve">Learning outcomes</w:t>
      </w:r>
    </w:p>
    <w:p>
      <w:pPr>
        <w:spacing w:after="80" w:line="276"/>
      </w:pPr>
      <w:r>
        <w:rPr>
          <w:color w:val="1B1A18"/>
          <w:sz w:val="20"/>
          <w:szCs w:val="20"/>
        </w:rPr>
        <w:t xml:space="preserve">On successful completion, participants will be able to:</w:t>
      </w:r>
    </w:p>
    <w:p>
      <w:pPr>
        <w:pStyle w:val="ListParagraph"/>
        <w:numPr>
          <w:ilvl w:val="0"/>
          <w:numId w:val="2"/>
        </w:numPr>
        <w:spacing w:after="70" w:line="268"/>
      </w:pPr>
      <w:r>
        <w:rPr>
          <w:color w:val="1B1A18"/>
          <w:sz w:val="20"/>
          <w:szCs w:val="20"/>
        </w:rPr>
        <w:t xml:space="preserve">Reconstruct the custody law and derive the six conserved properties from the twin observations that an enterprise persists while its systems change and that work moves across boundaries.</w:t>
      </w:r>
    </w:p>
    <w:p>
      <w:pPr>
        <w:pStyle w:val="ListParagraph"/>
        <w:numPr>
          <w:ilvl w:val="0"/>
          <w:numId w:val="2"/>
        </w:numPr>
        <w:spacing w:after="70" w:line="268"/>
      </w:pPr>
      <w:r>
        <w:rPr>
          <w:color w:val="1B1A18"/>
          <w:sz w:val="20"/>
          <w:szCs w:val="20"/>
        </w:rPr>
        <w:t xml:space="preserve">Prove why, given the four axioms, governance cannot reside in a probabilistic model, and locate enforcement at the crossing instead.</w:t>
      </w:r>
    </w:p>
    <w:p>
      <w:pPr>
        <w:pStyle w:val="ListParagraph"/>
        <w:numPr>
          <w:ilvl w:val="0"/>
          <w:numId w:val="2"/>
        </w:numPr>
        <w:spacing w:after="70" w:line="268"/>
      </w:pPr>
      <w:r>
        <w:rPr>
          <w:color w:val="1B1A18"/>
          <w:sz w:val="20"/>
          <w:szCs w:val="20"/>
        </w:rPr>
        <w:t xml:space="preserve">Distinguish the static (preservation) and dynamic (custody) forms of the law and apply the “structure holds, content moves” partition to a concrete design decision.</w:t>
      </w:r>
    </w:p>
    <w:p>
      <w:pPr>
        <w:pStyle w:val="ListParagraph"/>
        <w:numPr>
          <w:ilvl w:val="0"/>
          <w:numId w:val="2"/>
        </w:numPr>
        <w:spacing w:after="70" w:line="268"/>
      </w:pPr>
      <w:r>
        <w:rPr>
          <w:color w:val="1B1A18"/>
          <w:sz w:val="20"/>
          <w:szCs w:val="20"/>
        </w:rPr>
        <w:t xml:space="preserve">Analyse a real-world failure as a consequence record: trace the loss to a specific crossing and the property that was not in custody.</w:t>
      </w:r>
    </w:p>
    <w:p>
      <w:pPr>
        <w:pStyle w:val="ListParagraph"/>
        <w:numPr>
          <w:ilvl w:val="0"/>
          <w:numId w:val="2"/>
        </w:numPr>
        <w:spacing w:after="70" w:line="268"/>
      </w:pPr>
      <w:r>
        <w:rPr>
          <w:color w:val="1B1A18"/>
          <w:sz w:val="20"/>
          <w:szCs w:val="20"/>
        </w:rPr>
        <w:t xml:space="preserve">Execute the book’s nine-test evaluation protocol against a published or vendor architecture and produce a defensible verdict.</w:t>
      </w:r>
    </w:p>
    <w:p>
      <w:pPr>
        <w:pStyle w:val="ListParagraph"/>
        <w:numPr>
          <w:ilvl w:val="0"/>
          <w:numId w:val="2"/>
        </w:numPr>
        <w:spacing w:after="70" w:line="268"/>
      </w:pPr>
      <w:r>
        <w:rPr>
          <w:color w:val="1B1A18"/>
          <w:sz w:val="20"/>
          <w:szCs w:val="20"/>
        </w:rPr>
        <w:t xml:space="preserve">Design and argue a custody-architecture proposal for a chosen regulated domain, showing how each property is carried across every seam.</w:t>
      </w:r>
    </w:p>
    <w:p>
      <w:pPr>
        <w:pStyle w:val="ListParagraph"/>
        <w:numPr>
          <w:ilvl w:val="0"/>
          <w:numId w:val="2"/>
        </w:numPr>
        <w:spacing w:after="70" w:line="268"/>
      </w:pPr>
      <w:r>
        <w:rPr>
          <w:color w:val="1B1A18"/>
          <w:sz w:val="20"/>
          <w:szCs w:val="20"/>
        </w:rPr>
        <w:t xml:space="preserve">Critique the framework itself — identify where it is under-specified, contestable, or likely to be outrun by events.</w:t>
      </w:r>
    </w:p>
    <w:p>
      <w:pPr>
        <w:pStyle w:val="Heading1"/>
        <w:spacing w:after="140" w:before="320"/>
      </w:pPr>
      <w:r>
        <w:rPr>
          <w:b/>
          <w:bCs/>
          <w:color w:val="33302B"/>
          <w:sz w:val="29"/>
          <w:szCs w:val="29"/>
        </w:rPr>
        <w:t xml:space="preserve">Texts &amp; materials</w:t>
      </w:r>
    </w:p>
    <w:p>
      <w:pPr>
        <w:spacing w:after="120" w:line="276"/>
      </w:pPr>
      <w:r>
        <w:rPr>
          <w:b/>
          <w:bCs/>
          <w:color w:val="1B1A18"/>
          <w:sz w:val="20"/>
          <w:szCs w:val="20"/>
        </w:rPr>
        <w:t xml:space="preserve">Recommended (optional): </w:t>
      </w:r>
      <w:r>
        <w:rPr>
          <w:color w:val="1B1A18"/>
          <w:sz w:val="20"/>
          <w:szCs w:val="20"/>
        </w:rPr>
        <w:t xml:space="preserve">Georg Zangl, </w:t>
      </w:r>
      <w:r>
        <w:rPr>
          <w:i/>
          <w:iCs/>
          <w:color w:val="1B1A18"/>
          <w:sz w:val="20"/>
          <w:szCs w:val="20"/>
        </w:rPr>
        <w:t xml:space="preserve">What the Structure Does Not Carry</w:t>
      </w:r>
      <w:r>
        <w:rPr>
          <w:color w:val="1B1A18"/>
          <w:sz w:val="20"/>
          <w:szCs w:val="20"/>
        </w:rPr>
        <w:t xml:space="preserve"> (2026), foreword by Egbert U. Imomoh. The course is built on this book, but buying it is not required to take the course or to pass it. Every derivation, axiom, protocol test, and supplied case the assessments rest on is developed in the seminars and derivation labs and printed in the course materials (the Derivation Lab Manual carries the full derivation, the six tests, the protocol, and the supplied incidents). The chapter references in the schedule below are for students who choose to read the book (Kindle edition ~US$2.99); they are optional enrichment and are never a prerequisite for any graded work.</w:t>
      </w:r>
    </w:p>
    <w:p>
      <w:pPr>
        <w:spacing w:after="120" w:line="276"/>
      </w:pPr>
      <w:r>
        <w:rPr>
          <w:b/>
          <w:bCs/>
          <w:color w:val="1B1A18"/>
          <w:sz w:val="20"/>
          <w:szCs w:val="20"/>
        </w:rPr>
        <w:t xml:space="preserve">Supplementary: </w:t>
      </w:r>
      <w:r>
        <w:rPr>
          <w:color w:val="1B1A18"/>
          <w:sz w:val="20"/>
          <w:szCs w:val="20"/>
        </w:rPr>
        <w:t xml:space="preserve">current regulatory texts and enforcement actions relevant to the participant’s domain (data residency, sanctions, audit); the book’s own ‘Sources and Notes’ for the documented consequence records. No vendor documentation or reference architecture is required — by design.</w:t>
      </w:r>
    </w:p>
    <w:p>
      <w:pPr>
        <w:spacing w:after="120" w:line="276"/>
      </w:pPr>
      <w:r>
        <w:rPr>
          <w:b/>
          <w:bCs/>
          <w:color w:val="1B1A18"/>
          <w:sz w:val="20"/>
          <w:szCs w:val="20"/>
        </w:rPr>
        <w:t xml:space="preserve">External evidence: </w:t>
      </w:r>
      <w:r>
        <w:rPr>
          <w:i/>
          <w:iCs/>
          <w:color w:val="1B1A18"/>
          <w:sz w:val="20"/>
          <w:szCs w:val="20"/>
        </w:rPr>
        <w:t xml:space="preserve">The 2026 Global AI in Financial Services Report</w:t>
      </w:r>
      <w:r>
        <w:rPr>
          <w:color w:val="1B1A18"/>
          <w:sz w:val="20"/>
          <w:szCs w:val="20"/>
        </w:rPr>
        <w:t xml:space="preserve"> (Cambridge Centre for Alternative Finance, University of Cambridge, April 2026; 628 organisations across 151 jurisdictions) supplies the independent adoption, risk, concentration, and measurement figures used in class. Those figures, their respondent cuts, and their session-by-session placement are held in </w:t>
      </w:r>
      <w:r>
        <w:rPr>
          <w:i/>
          <w:iCs/>
          <w:color w:val="1B1A18"/>
          <w:sz w:val="20"/>
          <w:szCs w:val="20"/>
        </w:rPr>
        <w:t xml:space="preserve">Evidence Base — External Corroboration and Teaching Figures</w:t>
      </w:r>
      <w:r>
        <w:rPr>
          <w:color w:val="1B1A18"/>
          <w:sz w:val="20"/>
          <w:szCs w:val="20"/>
        </w:rPr>
        <w:t xml:space="preserve"> (folder 8). Figures are as at April 2026 and will age; the teaching materials themselves deliberately carry none.</w:t>
      </w:r>
    </w:p>
    <w:p>
      <w:pPr>
        <w:pStyle w:val="Heading1"/>
        <w:spacing w:after="140" w:before="320"/>
      </w:pPr>
      <w:r>
        <w:rPr>
          <w:b/>
          <w:bCs/>
          <w:color w:val="33302B"/>
          <w:sz w:val="29"/>
          <w:szCs w:val="29"/>
        </w:rPr>
        <w:t xml:space="preserve">Weekly schedule</w:t>
      </w:r>
    </w:p>
    <w:p>
      <w:pPr>
        <w:spacing w:after="100" w:line="276"/>
      </w:pPr>
      <w:r>
        <w:rPr>
          <w:i/>
          <w:iCs/>
          <w:color w:val="6E6A62"/>
          <w:sz w:val="20"/>
          <w:szCs w:val="20"/>
        </w:rPr>
        <w:t xml:space="preserve">The “optional reading” column points students who own the book to the matching chapters; the seminars, labs, and course materials cover everything the assessments require, so these readings are never mandatory. “Activity” shows the in-class focus and when deliverables are due.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806"/>
        <w:gridCol w:w="3427"/>
        <w:gridCol w:w="3024"/>
        <w:gridCol w:w="2823"/>
      </w:tblGrid>
      <w:tr>
        <w:trPr>
          <w:tblHeader/>
        </w:trPr>
        <w:tc>
          <w:tcPr>
            <w:tcW w:type="dxa" w:w="806"/>
            <w:shd w:fill="33302B" w:color="auto" w:val="clear"/>
            <w:tcMar>
              <w:top w:type="dxa" w:w="60"/>
              <w:left w:type="dxa" w:w="90"/>
              <w:bottom w:type="dxa" w:w="60"/>
              <w:right w:type="dxa" w:w="90"/>
            </w:tcMar>
          </w:tcPr>
          <w:p>
            <w:pPr>
              <w:spacing w:after="0" w:line="250"/>
              <w:jc w:val="center"/>
            </w:pPr>
            <w:r>
              <w:rPr>
                <w:b/>
                <w:bCs/>
                <w:color w:val="FFFFFF"/>
                <w:sz w:val="18"/>
                <w:szCs w:val="18"/>
              </w:rPr>
              <w:t xml:space="preserve">Wk</w:t>
            </w:r>
          </w:p>
        </w:tc>
        <w:tc>
          <w:tcPr>
            <w:tcW w:type="dxa" w:w="3427"/>
            <w:shd w:fill="33302B" w:color="auto" w:val="clear"/>
            <w:tcMar>
              <w:top w:type="dxa" w:w="60"/>
              <w:left w:type="dxa" w:w="90"/>
              <w:bottom w:type="dxa" w:w="60"/>
              <w:right w:type="dxa" w:w="90"/>
            </w:tcMar>
          </w:tcPr>
          <w:p>
            <w:pPr>
              <w:spacing w:after="0" w:line="250"/>
            </w:pPr>
            <w:r>
              <w:rPr>
                <w:b/>
                <w:bCs/>
                <w:color w:val="FFFFFF"/>
                <w:sz w:val="18"/>
                <w:szCs w:val="18"/>
              </w:rPr>
              <w:t xml:space="preserve">Topic / Session</w:t>
            </w:r>
          </w:p>
        </w:tc>
        <w:tc>
          <w:tcPr>
            <w:tcW w:type="dxa" w:w="3024"/>
            <w:shd w:fill="33302B" w:color="auto" w:val="clear"/>
            <w:tcMar>
              <w:top w:type="dxa" w:w="60"/>
              <w:left w:type="dxa" w:w="90"/>
              <w:bottom w:type="dxa" w:w="60"/>
              <w:right w:type="dxa" w:w="90"/>
            </w:tcMar>
          </w:tcPr>
          <w:p>
            <w:pPr>
              <w:spacing w:after="0" w:line="250"/>
            </w:pPr>
            <w:r>
              <w:rPr>
                <w:b/>
                <w:bCs/>
                <w:color w:val="FFFFFF"/>
                <w:sz w:val="18"/>
                <w:szCs w:val="18"/>
              </w:rPr>
              <w:t xml:space="preserve">Optional reading (book)</w:t>
            </w:r>
          </w:p>
        </w:tc>
        <w:tc>
          <w:tcPr>
            <w:tcW w:type="dxa" w:w="2823"/>
            <w:shd w:fill="33302B" w:color="auto" w:val="clear"/>
            <w:tcMar>
              <w:top w:type="dxa" w:w="60"/>
              <w:left w:type="dxa" w:w="90"/>
              <w:bottom w:type="dxa" w:w="60"/>
              <w:right w:type="dxa" w:w="90"/>
            </w:tcMar>
          </w:tcPr>
          <w:p>
            <w:pPr>
              <w:spacing w:after="0" w:line="250"/>
            </w:pPr>
            <w:r>
              <w:rPr>
                <w:b/>
                <w:bCs/>
                <w:color w:val="FFFFFF"/>
                <w:sz w:val="18"/>
                <w:szCs w:val="18"/>
              </w:rPr>
              <w:t xml:space="preserve">In-class / assignment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discipline redefined: systems vs. the invisible layer</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Preface; Ch. 1–3</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Seminar norms; lab: locate the crossing in a supplied incident</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Custody under movement: the law and its six conserved quantities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4</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Derivation lab: rebuild the six properties from first principles</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3</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four axioms and the two eliminations</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5</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Problem set 1 (axiom composition) due; adversarial reading</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4</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Preservation vs. custody: structure holds, content moves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6; Interlude</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Lab: partition a system into invariant vs. content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5</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From tools to participants; identity as data</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7–8</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Seminar leadership begins; lab: express an org chart as authority records</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6</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Governance in structure, not in models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9</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Problem set 2 (locate the ‘never’) due</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7</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Trust at the seams; decisions at configuration time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10–11</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Lab: origin test &amp; configuration-vs-runtime decision</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8</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Context is not data; content and the store suited to its shape</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12–13</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Consequence-record case analysis due</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9</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Durability requires ceremony; memory as an attack surface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14–15</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Lab: design write-ceremony and provenance for a memory store</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10</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Isolation and sovereignty as construction</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16–17</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Problem set 3 (expressibility &amp; dependency census) due</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Governance that survives volume; the meter and the ledger</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18–19</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Lab: the two-invoices and last-month tests</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12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Infrastructure that outlives; preservation is not stasis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20–21</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Reference-architecture critique due</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13</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evaluation protocol and the custody rules</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22–23</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Capstone presentations &amp; defence</w:t>
            </w:r>
          </w:p>
        </w:tc>
      </w:tr>
    </w:tbl>
    <w:p>
      <w:r>
        <w:br w:type="page"/>
      </w:r>
    </w:p>
    <w:p>
      <w:pPr>
        <w:pStyle w:val="Heading1"/>
        <w:spacing w:after="140" w:before="320"/>
      </w:pPr>
      <w:r>
        <w:rPr>
          <w:b/>
          <w:bCs/>
          <w:color w:val="33302B"/>
          <w:sz w:val="29"/>
          <w:szCs w:val="29"/>
        </w:rPr>
        <w:t xml:space="preserve">Assessment &amp; grading</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258"/>
        <w:gridCol w:w="2822"/>
      </w:tblGrid>
      <w:tr>
        <w:trPr>
          <w:tblHeader/>
        </w:trPr>
        <w:tc>
          <w:tcPr>
            <w:tcW w:type="dxa" w:w="7258"/>
            <w:shd w:fill="33302B" w:color="auto" w:val="clear"/>
            <w:tcMar>
              <w:top w:type="dxa" w:w="60"/>
              <w:left w:type="dxa" w:w="90"/>
              <w:bottom w:type="dxa" w:w="60"/>
              <w:right w:type="dxa" w:w="90"/>
            </w:tcMar>
          </w:tcPr>
          <w:p>
            <w:pPr>
              <w:spacing w:after="0" w:line="250"/>
            </w:pPr>
            <w:r>
              <w:rPr>
                <w:b/>
                <w:bCs/>
                <w:color w:val="FFFFFF"/>
                <w:sz w:val="18"/>
                <w:szCs w:val="18"/>
              </w:rPr>
              <w:t xml:space="preserve">Assessment component</w:t>
            </w:r>
          </w:p>
        </w:tc>
        <w:tc>
          <w:tcPr>
            <w:tcW w:type="dxa" w:w="2822"/>
            <w:shd w:fill="33302B" w:color="auto" w:val="clear"/>
            <w:tcMar>
              <w:top w:type="dxa" w:w="60"/>
              <w:left w:type="dxa" w:w="90"/>
              <w:bottom w:type="dxa" w:w="60"/>
              <w:right w:type="dxa" w:w="90"/>
            </w:tcMar>
          </w:tcPr>
          <w:p>
            <w:pPr>
              <w:spacing w:after="0" w:line="250"/>
              <w:jc w:val="center"/>
            </w:pPr>
            <w:r>
              <w:rPr>
                <w:b/>
                <w:bCs/>
                <w:color w:val="FFFFFF"/>
                <w:sz w:val="18"/>
                <w:szCs w:val="18"/>
              </w:rPr>
              <w:t xml:space="preserve">Weight</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Three derivation problem sets</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20%</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Seminar leadership &amp; participation</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10%</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Consequence-record case analysis (Week 8)</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20%</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Reference-architecture critique using the nine-test protocol (Week 12)</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20%</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Capstone: custody-architecture proposal (report + defence)</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30%</w:t>
            </w:r>
          </w:p>
        </w:tc>
      </w:tr>
      <w:tr>
        <w:tc>
          <w:tcPr>
            <w:tcW w:type="dxa" w:w="7258"/>
            <w:shd w:fill="EBE7DF" w:color="auto" w:val="clear"/>
            <w:tcMar>
              <w:top w:type="dxa" w:w="60"/>
              <w:left w:type="dxa" w:w="90"/>
              <w:bottom w:type="dxa" w:w="60"/>
              <w:right w:type="dxa" w:w="90"/>
            </w:tcMar>
          </w:tcPr>
          <w:p>
            <w:pPr>
              <w:spacing w:after="0" w:line="250"/>
            </w:pPr>
            <w:r>
              <w:rPr>
                <w:b/>
                <w:bCs/>
                <w:color w:val="1B1A18"/>
                <w:sz w:val="18"/>
                <w:szCs w:val="18"/>
              </w:rPr>
              <w:t xml:space="preserve">Total</w:t>
            </w:r>
          </w:p>
        </w:tc>
        <w:tc>
          <w:tcPr>
            <w:tcW w:type="dxa" w:w="2822"/>
            <w:shd w:fill="EBE7DF" w:color="auto" w:val="clear"/>
            <w:tcMar>
              <w:top w:type="dxa" w:w="60"/>
              <w:left w:type="dxa" w:w="90"/>
              <w:bottom w:type="dxa" w:w="60"/>
              <w:right w:type="dxa" w:w="90"/>
            </w:tcMar>
          </w:tcPr>
          <w:p>
            <w:pPr>
              <w:spacing w:after="0" w:line="250"/>
              <w:jc w:val="center"/>
            </w:pPr>
            <w:r>
              <w:rPr>
                <w:b/>
                <w:bCs/>
                <w:color w:val="1B1A18"/>
                <w:sz w:val="18"/>
                <w:szCs w:val="18"/>
              </w:rPr>
              <w:t xml:space="preserve">100%</w:t>
            </w:r>
          </w:p>
        </w:tc>
      </w:tr>
    </w:tbl>
    <w:p>
      <w:pPr>
        <w:spacing w:after="80"/>
      </w:pPr>
    </w:p>
    <w:p>
      <w:pPr>
        <w:pStyle w:val="Heading2"/>
        <w:spacing w:after="100" w:before="240"/>
      </w:pPr>
      <w:r>
        <w:rPr>
          <w:b/>
          <w:bCs/>
          <w:color w:val="1B1A18"/>
          <w:sz w:val="23"/>
          <w:szCs w:val="23"/>
        </w:rPr>
        <w:t xml:space="preserve">Capstone — A custody-architecture proposal</w:t>
      </w:r>
    </w:p>
    <w:p>
      <w:pPr>
        <w:spacing w:after="120" w:line="276"/>
      </w:pPr>
      <w:r>
        <w:rPr>
          <w:color w:val="1B1A18"/>
          <w:sz w:val="20"/>
          <w:szCs w:val="20"/>
        </w:rPr>
        <w:t xml:space="preserve">Each student selects a regulated domain (e.g. cross-border payments, clinical decision support, energy trading) and designs — at the level of properties and crossings, not products — an architecture that keeps all six properties in custody as agentic work moves through it. The proposal must state the domain’s hard ‘nevers’, name the crossings where each property is most at risk, and specify where and how each is enforced, explicitly locating every guarantee outside the model.</w:t>
      </w:r>
    </w:p>
    <w:p>
      <w:pPr>
        <w:spacing w:after="120" w:line="276"/>
      </w:pPr>
      <w:r>
        <w:rPr>
          <w:color w:val="1B1A18"/>
          <w:sz w:val="20"/>
          <w:szCs w:val="20"/>
        </w:rPr>
        <w:t xml:space="preserve">The written proposal (5,000–6,000 words) must survive the author’s own application of the nine-test protocol and include a candid section on where the design is weakest. Students defend the proposal in a 20-minute seminar session in which peers run the protocol against it. Assessed on rigour of derivation, correct location of enforcement, and honesty about limits — the framework’s own standard: the tests must bite, including against the author.</w:t>
      </w:r>
    </w:p>
    <w:p>
      <w:pPr>
        <w:pStyle w:val="Heading1"/>
        <w:spacing w:after="140" w:before="320"/>
      </w:pPr>
      <w:r>
        <w:rPr>
          <w:b/>
          <w:bCs/>
          <w:color w:val="33302B"/>
          <w:sz w:val="29"/>
          <w:szCs w:val="29"/>
        </w:rPr>
        <w:t xml:space="preserve">Reference: the book at a glance</w:t>
      </w:r>
    </w:p>
    <w:p>
      <w:pPr>
        <w:spacing w:after="80" w:line="276"/>
      </w:pPr>
      <w:r>
        <w:rPr>
          <w:color w:val="1B1A18"/>
          <w:sz w:val="20"/>
          <w:szCs w:val="20"/>
        </w:rPr>
        <w:t xml:space="preserve">The six parts the readings draw on:</w:t>
      </w:r>
    </w:p>
    <w:p>
      <w:pPr>
        <w:spacing w:after="90" w:line="276"/>
      </w:pPr>
      <w:r>
        <w:rPr>
          <w:b/>
          <w:bCs/>
          <w:color w:val="33302B"/>
          <w:sz w:val="20"/>
          <w:szCs w:val="20"/>
        </w:rPr>
        <w:t xml:space="preserve">Part I — The Invisible Layer (Ch. 1–3) — </w:t>
      </w:r>
      <w:r>
        <w:rPr>
          <w:color w:val="1B1A18"/>
          <w:sz w:val="20"/>
          <w:szCs w:val="20"/>
        </w:rPr>
        <w:t xml:space="preserve">The diagnosis: the human layer that carries meaning, authority and memory across every crossing, and why agentic AI withdraws that subsidy.</w:t>
      </w:r>
    </w:p>
    <w:p>
      <w:pPr>
        <w:spacing w:after="90" w:line="276"/>
      </w:pPr>
      <w:r>
        <w:rPr>
          <w:b/>
          <w:bCs/>
          <w:color w:val="33302B"/>
          <w:sz w:val="20"/>
          <w:szCs w:val="20"/>
        </w:rPr>
        <w:t xml:space="preserve">Part II — The Laws (Ch. 4–6) — </w:t>
      </w:r>
      <w:r>
        <w:rPr>
          <w:color w:val="1B1A18"/>
          <w:sz w:val="20"/>
          <w:szCs w:val="20"/>
        </w:rPr>
        <w:t xml:space="preserve">The custody law, the six conserved properties, the four axioms, and the preservation principle — structure holds, content moves.</w:t>
      </w:r>
    </w:p>
    <w:p>
      <w:pPr>
        <w:spacing w:after="90" w:line="276"/>
      </w:pPr>
      <w:r>
        <w:rPr>
          <w:b/>
          <w:bCs/>
          <w:color w:val="33302B"/>
          <w:sz w:val="20"/>
          <w:szCs w:val="20"/>
        </w:rPr>
        <w:t xml:space="preserve">Part III — Agentic AI (Ch. 7–11) — </w:t>
      </w:r>
      <w:r>
        <w:rPr>
          <w:color w:val="1B1A18"/>
          <w:sz w:val="20"/>
          <w:szCs w:val="20"/>
        </w:rPr>
        <w:t xml:space="preserve">Agents as participants, identity as data, governance in structure not models, trust at the seams, decisions at configuration time.</w:t>
      </w:r>
    </w:p>
    <w:p>
      <w:pPr>
        <w:spacing w:after="90" w:line="276"/>
      </w:pPr>
      <w:r>
        <w:rPr>
          <w:b/>
          <w:bCs/>
          <w:color w:val="33302B"/>
          <w:sz w:val="20"/>
          <w:szCs w:val="20"/>
        </w:rPr>
        <w:t xml:space="preserve">Part IV — Memory and Context (Ch. 12–15) — </w:t>
      </w:r>
      <w:r>
        <w:rPr>
          <w:color w:val="1B1A18"/>
          <w:sz w:val="20"/>
          <w:szCs w:val="20"/>
        </w:rPr>
        <w:t xml:space="preserve">Context is not data; content belongs in the store suited to its shape; durability needs ceremony; memory as an attack surface.</w:t>
      </w:r>
    </w:p>
    <w:p>
      <w:pPr>
        <w:spacing w:after="90" w:line="276"/>
      </w:pPr>
      <w:r>
        <w:rPr>
          <w:b/>
          <w:bCs/>
          <w:color w:val="33302B"/>
          <w:sz w:val="20"/>
          <w:szCs w:val="20"/>
        </w:rPr>
        <w:t xml:space="preserve">Part V — Strategic Consequences (Ch. 16–20) — </w:t>
      </w:r>
      <w:r>
        <w:rPr>
          <w:color w:val="1B1A18"/>
          <w:sz w:val="20"/>
          <w:szCs w:val="20"/>
        </w:rPr>
        <w:t xml:space="preserve">Isolation, sovereignty, governance at volume, the meter and the ledger (cost), infrastructure that outlives what it coordinates.</w:t>
      </w:r>
    </w:p>
    <w:p>
      <w:pPr>
        <w:spacing w:after="90" w:line="276"/>
      </w:pPr>
      <w:r>
        <w:rPr>
          <w:b/>
          <w:bCs/>
          <w:color w:val="33302B"/>
          <w:sz w:val="20"/>
          <w:szCs w:val="20"/>
        </w:rPr>
        <w:t xml:space="preserve">Part VI — Practice (Ch. 21–23) — </w:t>
      </w:r>
      <w:r>
        <w:rPr>
          <w:color w:val="1B1A18"/>
          <w:sz w:val="20"/>
          <w:szCs w:val="20"/>
        </w:rPr>
        <w:t xml:space="preserve">Preservation is not stasis; the nine-test evaluation protocol; the six custody rules and the rule above them.</w:t>
      </w:r>
    </w:p>
    <w:p>
      <w:pPr>
        <w:pBdr>
          <w:bottom w:val="single" w:color="D6D2C9" w:sz="8"/>
        </w:pBdr>
        <w:spacing w:after="100" w:before="160"/>
      </w:pPr>
      <w:r>
        <w:t xml:space="preserve"/>
      </w:r>
    </w:p>
    <w:p>
      <w:pPr>
        <w:spacing w:after="120" w:line="276"/>
        <w:jc w:val="center"/>
      </w:pPr>
      <w:r>
        <w:rPr>
          <w:i/>
          <w:iCs/>
          <w:color w:val="33302B"/>
          <w:sz w:val="20"/>
          <w:szCs w:val="20"/>
        </w:rPr>
        <w:t xml:space="preserve">The rule above the rules: “Every component must be replaceable, and no property ever may be.”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i/>
        <w:iCs/>
        <w:color w:val="6E6A62"/>
        <w:sz w:val="16"/>
        <w:szCs w:val="16"/>
      </w:rPr>
      <w:t xml:space="preserve">Based on </w:t>
    </w:r>
    <w:r>
      <w:rPr>
        <w:i/>
        <w:iCs/>
        <w:color w:val="6E6A62"/>
        <w:sz w:val="16"/>
        <w:szCs w:val="16"/>
      </w:rPr>
      <w:t xml:space="preserve">What the Structure Does Not Carry</w:t>
    </w:r>
    <w:r>
      <w:rPr>
        <w:color w:val="6E6A62"/>
        <w:sz w:val="16"/>
        <w:szCs w:val="16"/>
      </w:rPr>
      <w:t xml:space="preserve"> by Georg Zangl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MSc — Custody Architecture for Agentic Enterprises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abstractNum w:abstractNumId="3" w15:restartNumberingAfterBreak="0">
    <w:multiLevelType w:val="hybridMultilevel"/>
    <w:lvl w:ilvl="0" w15:tentative="1">
      <w:start w:val="1"/>
      <w:numFmt w:val="decimal"/>
      <w:lvlText w:val="LO%1."/>
      <w:lvlJc w:val="left"/>
      <w:pPr>
        <w:ind w:left="520" w:hanging="40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Custody Architecture for Agentic Enterprises</dc:title>
  <dc:creator>MudoZangl — adapted from What the Structure Does Not Carry</dc:creator>
  <dc:description>Course syllabus adapted from the book by Georg Zangl</dc:description>
  <cp:lastModifiedBy>Un-named</cp:lastModifiedBy>
  <cp:revision>1</cp:revision>
  <dcterms:created xsi:type="dcterms:W3CDTF">2026-08-15T17:02:29.566Z</dcterms:created>
  <dcterms:modified xsi:type="dcterms:W3CDTF">2026-08-15T17:02:29.566Z</dcterms:modified>
</cp:coreProperties>
</file>

<file path=docProps/custom.xml><?xml version="1.0" encoding="utf-8"?>
<Properties xmlns="http://schemas.openxmlformats.org/officeDocument/2006/custom-properties" xmlns:vt="http://schemas.openxmlformats.org/officeDocument/2006/docPropsVTypes"/>
</file>