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500"/>
      </w:pPr>
      <w:r>
        <w:rPr>
          <w:b/>
          <w:bCs/>
          <w:caps/>
          <w:color w:val="33302B"/>
          <w:spacing w:val="40"/>
          <w:sz w:val="21"/>
          <w:szCs w:val="21"/>
        </w:rPr>
        <w:t xml:space="preserve">Assessment pack</w:t>
      </w:r>
    </w:p>
    <w:p>
      <w:pPr>
        <w:pBdr>
          <w:bottom w:val="single" w:color="33302B" w:sz="12"/>
        </w:pBdr>
        <w:spacing w:after="120"/>
      </w:pPr>
      <w:r>
        <w:rPr>
          <w:b/>
          <w:bCs/>
          <w:color w:val="1B1A18"/>
          <w:sz w:val="45"/>
          <w:szCs w:val="45"/>
        </w:rPr>
        <w:t xml:space="preserve">Assignments &amp; Due-Diligence Toolkit</w:t>
      </w:r>
    </w:p>
    <w:p>
      <w:pPr>
        <w:spacing w:after="300" w:before="140"/>
      </w:pPr>
      <w:r>
        <w:rPr>
          <w:i/>
          <w:iCs/>
          <w:color w:val="6E6A62"/>
          <w:sz w:val="23"/>
          <w:szCs w:val="23"/>
        </w:rPr>
        <w:t xml:space="preserve">The vendor-evaluation memo, the board-case assignment, and the nine-test toolkit</w:t>
      </w:r>
    </w:p>
    <w:p>
      <w:pPr>
        <w:spacing w:after="40" w:line="276"/>
      </w:pPr>
      <w:r>
        <w:rPr>
          <w:b/>
          <w:bCs/>
          <w:color w:val="1B1A18"/>
          <w:sz w:val="20"/>
          <w:szCs w:val="20"/>
        </w:rPr>
        <w:t xml:space="preserve">Course: </w:t>
      </w:r>
      <w:r>
        <w:rPr>
          <w:color w:val="1B1A18"/>
          <w:sz w:val="20"/>
          <w:szCs w:val="20"/>
        </w:rPr>
        <w:t xml:space="preserve">Governing the Agentic Enterprise (MBA / Executive Education)</w:t>
      </w:r>
    </w:p>
    <w:p>
      <w:pPr>
        <w:spacing w:after="40" w:line="276"/>
      </w:pPr>
      <w:r>
        <w:rPr>
          <w:b/>
          <w:bCs/>
          <w:color w:val="1B1A18"/>
          <w:sz w:val="20"/>
          <w:szCs w:val="20"/>
        </w:rPr>
        <w:t xml:space="preserve">Source text: </w:t>
      </w:r>
      <w:r>
        <w:rPr>
          <w:i/>
          <w:iCs/>
          <w:color w:val="1B1A18"/>
          <w:sz w:val="20"/>
          <w:szCs w:val="20"/>
        </w:rPr>
        <w:t xml:space="preserve">What the Structure Does Not Carry</w:t>
      </w:r>
      <w:r>
        <w:rPr>
          <w:color w:val="1B1A18"/>
          <w:sz w:val="20"/>
          <w:szCs w:val="20"/>
        </w:rPr>
        <w:t xml:space="preserve"> — Georg Zangl (2026)</w:t>
      </w:r>
    </w:p>
    <w:p>
      <w:pPr>
        <w:spacing w:after="300" w:line="276"/>
      </w:pPr>
      <w:r>
        <w:rPr>
          <w:b/>
          <w:bCs/>
          <w:color w:val="1B1A18"/>
          <w:sz w:val="20"/>
          <w:szCs w:val="20"/>
        </w:rPr>
        <w:t xml:space="preserve">Instructor: </w:t>
      </w:r>
      <w:r>
        <w:rPr>
          <w:color w:val="1B1A18"/>
          <w:sz w:val="20"/>
          <w:szCs w:val="20"/>
        </w:rPr>
        <w:t xml:space="preserve">[Instructor name]     </w:t>
      </w:r>
      <w:r>
        <w:rPr>
          <w:b/>
          <w:bCs/>
          <w:color w:val="1B1A18"/>
          <w:sz w:val="20"/>
          <w:szCs w:val="20"/>
        </w:rPr>
        <w:t xml:space="preserve">Term: </w:t>
      </w:r>
      <w:r>
        <w:rPr>
          <w:color w:val="1B1A18"/>
          <w:sz w:val="20"/>
          <w:szCs w:val="20"/>
        </w:rPr>
        <w:t xml:space="preserve">[Term / cohort]</w:t>
      </w:r>
    </w:p>
    <w:p>
      <w:pPr>
        <w:spacing w:after="110" w:line="276"/>
      </w:pPr>
      <w:r>
        <w:rPr>
          <w:i/>
          <w:iCs/>
          <w:color w:val="6E6A62"/>
          <w:sz w:val="20"/>
          <w:szCs w:val="20"/>
        </w:rPr>
        <w:t xml:space="preserve">This pack contains the two individual assignments and a printable due-diligence toolkit executives can carry into a vendor meeting. Weightings (from the syllabus): participation 15%, vendor-evaluation memo 25%, consequence-record board case 20%, team governance playbook 40%. Rubrics follow each assignment.</w:t>
      </w:r>
    </w:p>
    <w:p>
      <w:r>
        <w:br w:type="page"/>
      </w:r>
    </w:p>
    <w:p>
      <w:pPr>
        <w:pStyle w:val="Heading1"/>
        <w:spacing w:after="130" w:before="300"/>
      </w:pPr>
      <w:r>
        <w:rPr>
          <w:b/>
          <w:bCs/>
          <w:color w:val="33302B"/>
          <w:sz w:val="29"/>
          <w:szCs w:val="29"/>
        </w:rPr>
        <w:t xml:space="preserve">The Nine-Test Due-Diligence Toolkit</w:t>
      </w:r>
    </w:p>
    <w:p>
      <w:pPr>
        <w:spacing w:after="110" w:line="276"/>
      </w:pPr>
      <w:r>
        <w:rPr>
          <w:color w:val="1B1A18"/>
          <w:sz w:val="20"/>
          <w:szCs w:val="20"/>
        </w:rPr>
        <w:t xml:space="preserve">A vendor-neutral instrument you can run against any platform, internal proposal, or your own systems — in a working day, with no source code and no goodwill. Begin with the single-clause specification; everything else is that question, factored. Every test demands a demonstration against structure, which is exactly what a slide cannot provide.</w:t>
      </w:r>
    </w:p>
    <w:p>
      <w:pPr>
        <w:pStyle w:val="Heading3"/>
        <w:spacing w:after="70" w:before="160"/>
      </w:pPr>
      <w:r>
        <w:rPr>
          <w:b/>
          <w:bCs/>
          <w:color w:val="57534A"/>
          <w:sz w:val="20"/>
          <w:szCs w:val="20"/>
        </w:rPr>
        <w:t xml:space="preserve">The single-clause specification</w:t>
      </w:r>
    </w:p>
    <w:p>
      <w:pPr>
        <w:spacing w:after="110" w:line="276"/>
      </w:pPr>
      <w:r>
        <w:rPr>
          <w:b/>
          <w:bCs/>
          <w:color w:val="1B1A18"/>
          <w:sz w:val="20"/>
          <w:szCs w:val="20"/>
        </w:rPr>
        <w:t xml:space="preserve">Show the crossing, and show what survives it.  </w:t>
      </w:r>
      <w:r>
        <w:rPr>
          <w:color w:val="1B1A18"/>
          <w:sz w:val="20"/>
          <w:szCs w:val="20"/>
        </w:rPr>
        <w:t xml:space="preserve">Pick a real piece of work; make them walk it across a real boundary between two systems, live; inspect what arrives — the payload alone, or the payload with its meaning, its rights, its record, and its relationship to what the enterprise knows.</w:t>
      </w:r>
    </w:p>
    <w:p>
      <w:pPr>
        <w:pStyle w:val="Heading3"/>
        <w:spacing w:after="70" w:before="160"/>
      </w:pPr>
      <w:r>
        <w:rPr>
          <w:b/>
          <w:bCs/>
          <w:color w:val="57534A"/>
          <w:sz w:val="20"/>
          <w:szCs w:val="20"/>
        </w:rPr>
        <w:t xml:space="preserve">The nine tests</w:t>
      </w:r>
    </w:p>
    <w:tbl>
      <w:tblPr>
        <w:tblW w:type="dxa" w:w="10080"/>
        <w:tblBorders>
          <w:top w:val="single" w:color="D6D2C9" w:sz="4"/>
          <w:left w:val="single" w:color="D6D2C9" w:sz="4"/>
          <w:bottom w:val="single" w:color="D6D2C9" w:sz="4"/>
          <w:right w:val="single" w:color="D6D2C9" w:sz="4"/>
          <w:insideH w:val="single" w:color="D6D2C9" w:sz="4"/>
          <w:insideV w:val="single" w:color="D6D2C9" w:sz="4"/>
        </w:tblBorders>
      </w:tblPr>
      <w:tblGrid>
        <w:gridCol w:w="500"/>
        <w:gridCol w:w="3900"/>
        <w:gridCol w:w="3200"/>
        <w:gridCol w:w="2480"/>
      </w:tblGrid>
      <w:tr>
        <w:trPr>
          <w:tblHeader/>
        </w:trPr>
        <w:tc>
          <w:tcPr>
            <w:tcW w:type="dxa" w:w="5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9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 — what to demand</w:t>
            </w:r>
          </w:p>
        </w:tc>
        <w:tc>
          <w:tcPr>
            <w:tcW w:type="dxa" w:w="32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 pass looks like</w:t>
            </w:r>
          </w:p>
        </w:tc>
        <w:tc>
          <w:tcPr>
            <w:tcW w:type="dxa" w:w="248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Disqualifier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Onboarding: add a new tenant / regulation, live</w:t>
            </w:r>
          </w:p>
        </w:tc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New rows of configuration; no code release</w:t>
            </w:r>
          </w:p>
        </w:tc>
        <w:tc>
          <w:tcPr>
            <w:tcW w:type="dxa" w:w="24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A branch, a subclass, or a release</w:t>
            </w:r>
          </w:p>
        </w:tc>
      </w:tr>
      <w:tr>
        <w:tc>
          <w:tcPr>
            <w:tcW w:type="dxa" w:w="5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2</w:t>
            </w:r>
          </w:p>
        </w:tc>
        <w:tc>
          <w:tcPr>
            <w:tcW w:type="dxa" w:w="39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Where-proven: where a new agent proves itself</w:t>
            </w:r>
          </w:p>
        </w:tc>
        <w:tc>
          <w:tcPr>
            <w:tcW w:type="dxa" w:w="32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Inside the gates it will live under</w:t>
            </w:r>
          </w:p>
        </w:tc>
        <w:tc>
          <w:tcPr>
            <w:tcW w:type="dxa" w:w="248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A dev environment or release pipeline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3</w:t>
            </w:r>
          </w:p>
        </w:tc>
        <w:tc>
          <w:tcPr>
            <w:tcW w:type="dxa" w:w="39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Address: name one ‘never’; show its enforcement</w:t>
            </w:r>
          </w:p>
        </w:tc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A physical, structural gate the work passes</w:t>
            </w:r>
          </w:p>
        </w:tc>
        <w:tc>
          <w:tcPr>
            <w:tcW w:type="dxa" w:w="24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The word ‘prompt’ anywhere in the answer</w:t>
            </w:r>
          </w:p>
        </w:tc>
      </w:tr>
      <w:tr>
        <w:tc>
          <w:tcPr>
            <w:tcW w:type="dxa" w:w="5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4</w:t>
            </w:r>
          </w:p>
        </w:tc>
        <w:tc>
          <w:tcPr>
            <w:tcW w:type="dxa" w:w="39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Expressibility: have engineers write the cross-tenant statement</w:t>
            </w:r>
          </w:p>
        </w:tc>
        <w:tc>
          <w:tcPr>
            <w:tcW w:type="dxa" w:w="32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They cannot express it in the structure</w:t>
            </w:r>
          </w:p>
        </w:tc>
        <w:tc>
          <w:tcPr>
            <w:tcW w:type="dxa" w:w="248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They can write it (isolation is only policy)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5</w:t>
            </w:r>
          </w:p>
        </w:tc>
        <w:tc>
          <w:tcPr>
            <w:tcW w:type="dxa" w:w="39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Origin: what is known about a fragment’s source</w:t>
            </w:r>
          </w:p>
        </w:tc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Origin recorded; its influence bounded</w:t>
            </w:r>
          </w:p>
        </w:tc>
        <w:tc>
          <w:tcPr>
            <w:tcW w:type="dxa" w:w="24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Origin unknown or unconstrained</w:t>
            </w:r>
          </w:p>
        </w:tc>
      </w:tr>
      <w:tr>
        <w:tc>
          <w:tcPr>
            <w:tcW w:type="dxa" w:w="5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6</w:t>
            </w:r>
          </w:p>
        </w:tc>
        <w:tc>
          <w:tcPr>
            <w:tcW w:type="dxa" w:w="39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Dependency census: the runtime leash list</w:t>
            </w:r>
          </w:p>
        </w:tc>
        <w:tc>
          <w:tcPr>
            <w:tcW w:type="dxa" w:w="32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A known, bounded list of dependencies</w:t>
            </w:r>
          </w:p>
        </w:tc>
        <w:tc>
          <w:tcPr>
            <w:tcW w:type="dxa" w:w="248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‘We’re not sure’ / an unknown count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7</w:t>
            </w:r>
          </w:p>
        </w:tc>
        <w:tc>
          <w:tcPr>
            <w:tcW w:type="dxa" w:w="39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Substitution: cost of saying no to any one party</w:t>
            </w:r>
          </w:p>
        </w:tc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A real, costed alternative exists</w:t>
            </w:r>
          </w:p>
        </w:tc>
        <w:tc>
          <w:tcPr>
            <w:tcW w:type="dxa" w:w="24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‘We cannot’ for a load-bearing party</w:t>
            </w:r>
          </w:p>
        </w:tc>
      </w:tr>
      <w:tr>
        <w:tc>
          <w:tcPr>
            <w:tcW w:type="dxa" w:w="5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8</w:t>
            </w:r>
          </w:p>
        </w:tc>
        <w:tc>
          <w:tcPr>
            <w:tcW w:type="dxa" w:w="39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Last-month: full attribution of one transaction, by query</w:t>
            </w:r>
          </w:p>
        </w:tc>
        <w:tc>
          <w:tcPr>
            <w:tcW w:type="dxa" w:w="32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Complete, incl. the rule version, verified by a sceptic</w:t>
            </w:r>
          </w:p>
        </w:tc>
        <w:tc>
          <w:tcPr>
            <w:tcW w:type="dxa" w:w="248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It requires an investigation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9</w:t>
            </w:r>
          </w:p>
        </w:tc>
        <w:tc>
          <w:tcPr>
            <w:tcW w:type="dxa" w:w="39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Two-invoices + outlive: per-action cost; the referee test</w:t>
            </w:r>
          </w:p>
        </w:tc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Cost from execution records; a neutral holder</w:t>
            </w:r>
          </w:p>
        </w:tc>
        <w:tc>
          <w:tcPr>
            <w:tcW w:type="dxa" w:w="24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Estimates; a holder with a stake in the game</w:t>
            </w:r>
          </w:p>
        </w:tc>
      </w:tr>
    </w:tbl>
    <w:p>
      <w:pPr>
        <w:spacing w:after="110" w:line="276"/>
      </w:pPr>
      <w:r>
        <w:rPr>
          <w:i/>
          <w:iCs/>
          <w:color w:val="6E6A62"/>
          <w:sz w:val="20"/>
          <w:szCs w:val="20"/>
        </w:rPr>
        <w:t xml:space="preserve">Run the protocol hardest against the vendor whose vocabulary matches this course best — that vendor is either the real thing or the most sophisticated claimant of the name, and only a demonstration tells them apart.</w:t>
      </w:r>
    </w:p>
    <w:p>
      <w:r>
        <w:br w:type="page"/>
      </w:r>
    </w:p>
    <w:p>
      <w:pPr>
        <w:pStyle w:val="Heading1"/>
        <w:spacing w:after="130" w:before="300"/>
      </w:pPr>
      <w:r>
        <w:rPr>
          <w:b/>
          <w:bCs/>
          <w:color w:val="33302B"/>
          <w:sz w:val="29"/>
          <w:szCs w:val="29"/>
        </w:rPr>
        <w:t xml:space="preserve">Assignment 1 — Vendor-Evaluation Memo</w:t>
      </w:r>
    </w:p>
    <w:p>
      <w:pPr>
        <w:spacing w:after="110" w:line="276"/>
      </w:pPr>
      <w:r>
        <w:rPr>
          <w:color w:val="6E6A62"/>
          <w:sz w:val="20"/>
          <w:szCs w:val="20"/>
        </w:rPr>
        <w:t xml:space="preserve">Individual · ~2,000 words · 25% · set Session 4, due Session 11.</w:t>
      </w:r>
    </w:p>
    <w:p>
      <w:pPr>
        <w:pStyle w:val="Heading2"/>
        <w:spacing w:after="90" w:before="220"/>
      </w:pPr>
      <w:r>
        <w:rPr>
          <w:b/>
          <w:bCs/>
          <w:color w:val="1B1A18"/>
          <w:sz w:val="23"/>
          <w:szCs w:val="23"/>
        </w:rPr>
        <w:t xml:space="preserve">Brief</w:t>
      </w:r>
    </w:p>
    <w:p>
      <w:pPr>
        <w:spacing w:after="110" w:line="276"/>
      </w:pPr>
      <w:r>
        <w:rPr>
          <w:color w:val="1B1A18"/>
          <w:sz w:val="20"/>
          <w:szCs w:val="20"/>
        </w:rPr>
        <w:t xml:space="preserve">Choose a real agentic-AI platform (a vendor under consideration, a public product, or a supplied case) and evaluate it as a board adviser using the nine-test toolkit. Write a memo to a decision-maker: state which tests you could apply from public information, which you would demand a live demonstration of, your provisional verdict, and the two conditions you would place on any purchase. Do not accept marketing claims as evidence — name the demonstration each verdict would require.</w:t>
      </w:r>
    </w:p>
    <w:p>
      <w:pPr>
        <w:pStyle w:val="Heading2"/>
        <w:spacing w:after="90" w:before="220"/>
      </w:pPr>
      <w:r>
        <w:rPr>
          <w:b/>
          <w:bCs/>
          <w:color w:val="1B1A18"/>
          <w:sz w:val="23"/>
          <w:szCs w:val="23"/>
        </w:rPr>
        <w:t xml:space="preserve">Required structure</w:t>
      </w:r>
    </w:p>
    <w:p>
      <w:pPr>
        <w:spacing w:after="70" w:line="268"/>
        <w:ind w:left="380" w:hanging="260"/>
      </w:pPr>
      <w:r>
        <w:rPr>
          <w:b/>
          <w:bCs/>
          <w:color w:val="33302B"/>
          <w:sz w:val="20"/>
          <w:szCs w:val="20"/>
        </w:rPr>
        <w:t xml:space="preserve">1.  </w:t>
      </w:r>
      <w:r>
        <w:rPr>
          <w:color w:val="1B1A18"/>
          <w:sz w:val="20"/>
          <w:szCs w:val="20"/>
        </w:rPr>
        <w:t xml:space="preserve">Recommendation up front (one paragraph a busy director can act on).</w:t>
      </w:r>
    </w:p>
    <w:p>
      <w:pPr>
        <w:spacing w:after="70" w:line="268"/>
        <w:ind w:left="380" w:hanging="260"/>
      </w:pPr>
      <w:r>
        <w:rPr>
          <w:b/>
          <w:bCs/>
          <w:color w:val="33302B"/>
          <w:sz w:val="20"/>
          <w:szCs w:val="20"/>
        </w:rPr>
        <w:t xml:space="preserve">2.  </w:t>
      </w:r>
      <w:r>
        <w:rPr>
          <w:color w:val="1B1A18"/>
          <w:sz w:val="20"/>
          <w:szCs w:val="20"/>
        </w:rPr>
        <w:t xml:space="preserve">The platform and how you scoped the evaluation.</w:t>
      </w:r>
    </w:p>
    <w:p>
      <w:pPr>
        <w:spacing w:after="70" w:line="268"/>
        <w:ind w:left="380" w:hanging="260"/>
      </w:pPr>
      <w:r>
        <w:rPr>
          <w:b/>
          <w:bCs/>
          <w:color w:val="33302B"/>
          <w:sz w:val="20"/>
          <w:szCs w:val="20"/>
        </w:rPr>
        <w:t xml:space="preserve">3.  </w:t>
      </w:r>
      <w:r>
        <w:rPr>
          <w:color w:val="1B1A18"/>
          <w:sz w:val="20"/>
          <w:szCs w:val="20"/>
        </w:rPr>
        <w:t xml:space="preserve">Findings against the nine tests, marking evidence vs. demonstration-required.</w:t>
      </w:r>
    </w:p>
    <w:p>
      <w:pPr>
        <w:spacing w:after="70" w:line="268"/>
        <w:ind w:left="380" w:hanging="260"/>
      </w:pPr>
      <w:r>
        <w:rPr>
          <w:b/>
          <w:bCs/>
          <w:color w:val="33302B"/>
          <w:sz w:val="20"/>
          <w:szCs w:val="20"/>
        </w:rPr>
        <w:t xml:space="preserve">4.  </w:t>
      </w:r>
      <w:r>
        <w:rPr>
          <w:color w:val="1B1A18"/>
          <w:sz w:val="20"/>
          <w:szCs w:val="20"/>
        </w:rPr>
        <w:t xml:space="preserve">The two hardest questions the vendor must answer before purchase.</w:t>
      </w:r>
    </w:p>
    <w:p>
      <w:pPr>
        <w:spacing w:after="70" w:line="268"/>
        <w:ind w:left="380" w:hanging="260"/>
      </w:pPr>
      <w:r>
        <w:rPr>
          <w:b/>
          <w:bCs/>
          <w:color w:val="33302B"/>
          <w:sz w:val="20"/>
          <w:szCs w:val="20"/>
        </w:rPr>
        <w:t xml:space="preserve">5.  </w:t>
      </w:r>
      <w:r>
        <w:rPr>
          <w:color w:val="1B1A18"/>
          <w:sz w:val="20"/>
          <w:szCs w:val="20"/>
        </w:rPr>
        <w:t xml:space="preserve">Conditions and residual risks you would put to the board.</w:t>
      </w:r>
    </w:p>
    <w:p>
      <w:pPr>
        <w:pStyle w:val="Heading2"/>
        <w:spacing w:after="90" w:before="220"/>
      </w:pPr>
      <w:r>
        <w:rPr>
          <w:b/>
          <w:bCs/>
          <w:color w:val="1B1A18"/>
          <w:sz w:val="23"/>
          <w:szCs w:val="23"/>
        </w:rPr>
        <w:t xml:space="preserve">Rubric (100 → 25%)</w:t>
      </w:r>
    </w:p>
    <w:tbl>
      <w:tblPr>
        <w:tblW w:type="dxa" w:w="10080"/>
        <w:tblBorders>
          <w:top w:val="single" w:color="D6D2C9" w:sz="4"/>
          <w:left w:val="single" w:color="D6D2C9" w:sz="4"/>
          <w:bottom w:val="single" w:color="D6D2C9" w:sz="4"/>
          <w:right w:val="single" w:color="D6D2C9" w:sz="4"/>
          <w:insideH w:val="single" w:color="D6D2C9" w:sz="4"/>
          <w:insideV w:val="single" w:color="D6D2C9" w:sz="4"/>
        </w:tblBorders>
      </w:tblPr>
      <w:tblGrid>
        <w:gridCol w:w="3400"/>
        <w:gridCol w:w="1200"/>
        <w:gridCol w:w="5480"/>
      </w:tblGrid>
      <w:tr>
        <w:trPr>
          <w:tblHeader/>
        </w:trPr>
        <w:tc>
          <w:tcPr>
            <w:tcW w:type="dxa" w:w="34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Weight</w:t>
            </w:r>
          </w:p>
        </w:tc>
        <w:tc>
          <w:tcPr>
            <w:tcW w:type="dxa" w:w="548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Excellence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Correct use of the protocol</w:t>
            </w:r>
          </w:p>
        </w:tc>
        <w:tc>
          <w:tcPr>
            <w:tcW w:type="dxa" w:w="1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30</w:t>
            </w:r>
          </w:p>
        </w:tc>
        <w:tc>
          <w:tcPr>
            <w:tcW w:type="dxa" w:w="54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Tests applied faithfully; demonstrations, not decks, demanded</w:t>
            </w:r>
          </w:p>
        </w:tc>
      </w:tr>
      <w:tr>
        <w:tc>
          <w:tcPr>
            <w:tcW w:type="dxa" w:w="34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Board-readiness</w:t>
            </w:r>
          </w:p>
        </w:tc>
        <w:tc>
          <w:tcPr>
            <w:tcW w:type="dxa" w:w="12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25</w:t>
            </w:r>
          </w:p>
        </w:tc>
        <w:tc>
          <w:tcPr>
            <w:tcW w:type="dxa" w:w="548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Crisp recommendation a director can act on; risks named honestly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Evidence discipline</w:t>
            </w:r>
          </w:p>
        </w:tc>
        <w:tc>
          <w:tcPr>
            <w:tcW w:type="dxa" w:w="1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25</w:t>
            </w:r>
          </w:p>
        </w:tc>
        <w:tc>
          <w:tcPr>
            <w:tcW w:type="dxa" w:w="54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Marketing claims are not treated as evidence; gaps flagged</w:t>
            </w:r>
          </w:p>
        </w:tc>
      </w:tr>
      <w:tr>
        <w:tc>
          <w:tcPr>
            <w:tcW w:type="dxa" w:w="34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Judgement &amp; conditions</w:t>
            </w:r>
          </w:p>
        </w:tc>
        <w:tc>
          <w:tcPr>
            <w:tcW w:type="dxa" w:w="12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20</w:t>
            </w:r>
          </w:p>
        </w:tc>
        <w:tc>
          <w:tcPr>
            <w:tcW w:type="dxa" w:w="548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The two questions and the purchase conditions are the right ones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b/>
          <w:bCs/>
          <w:color w:val="33302B"/>
          <w:sz w:val="29"/>
          <w:szCs w:val="29"/>
        </w:rPr>
        <w:t xml:space="preserve">Assignment 2 — Consequence-Record Board Case</w:t>
      </w:r>
    </w:p>
    <w:p>
      <w:pPr>
        <w:spacing w:after="110" w:line="276"/>
      </w:pPr>
      <w:r>
        <w:rPr>
          <w:color w:val="6E6A62"/>
          <w:sz w:val="20"/>
          <w:szCs w:val="20"/>
        </w:rPr>
        <w:t xml:space="preserve">Individual · ~1,800 words · 20% · due Session 8.</w:t>
      </w:r>
    </w:p>
    <w:p>
      <w:pPr>
        <w:pStyle w:val="Heading2"/>
        <w:spacing w:after="90" w:before="220"/>
      </w:pPr>
      <w:r>
        <w:rPr>
          <w:b/>
          <w:bCs/>
          <w:color w:val="1B1A18"/>
          <w:sz w:val="23"/>
          <w:szCs w:val="23"/>
        </w:rPr>
        <w:t xml:space="preserve">Brief</w:t>
      </w:r>
    </w:p>
    <w:p>
      <w:pPr>
        <w:spacing w:after="110" w:line="276"/>
      </w:pPr>
      <w:r>
        <w:rPr>
          <w:color w:val="1B1A18"/>
          <w:sz w:val="20"/>
          <w:szCs w:val="20"/>
        </w:rPr>
        <w:t xml:space="preserve">Select a real, documented enterprise or governance failure (sourced to courts, regulators, official investigations, or the organisation’s own admissions). Write a board memo that root-causes it as a custody failure: identify the crossing where the loss occurred, the property that was not in custody, the bill, and — most importantly — the single decision a board could have taken beforehand to prevent it. Avoid hindsight moralising; name the structural change.</w:t>
      </w:r>
    </w:p>
    <w:p>
      <w:pPr>
        <w:pStyle w:val="Heading2"/>
        <w:spacing w:after="90" w:before="220"/>
      </w:pPr>
      <w:r>
        <w:rPr>
          <w:b/>
          <w:bCs/>
          <w:color w:val="1B1A18"/>
          <w:sz w:val="23"/>
          <w:szCs w:val="23"/>
        </w:rPr>
        <w:t xml:space="preserve">Required structure</w:t>
      </w:r>
    </w:p>
    <w:p>
      <w:pPr>
        <w:spacing w:after="70" w:line="268"/>
        <w:ind w:left="380" w:hanging="260"/>
      </w:pPr>
      <w:r>
        <w:rPr>
          <w:b/>
          <w:bCs/>
          <w:color w:val="33302B"/>
          <w:sz w:val="20"/>
          <w:szCs w:val="20"/>
        </w:rPr>
        <w:t xml:space="preserve">1.  </w:t>
      </w:r>
      <w:r>
        <w:rPr>
          <w:color w:val="1B1A18"/>
          <w:sz w:val="20"/>
          <w:szCs w:val="20"/>
        </w:rPr>
        <w:t xml:space="preserve">The failure in three sentences (sourced).</w:t>
      </w:r>
    </w:p>
    <w:p>
      <w:pPr>
        <w:spacing w:after="70" w:line="268"/>
        <w:ind w:left="380" w:hanging="260"/>
      </w:pPr>
      <w:r>
        <w:rPr>
          <w:b/>
          <w:bCs/>
          <w:color w:val="33302B"/>
          <w:sz w:val="20"/>
          <w:szCs w:val="20"/>
        </w:rPr>
        <w:t xml:space="preserve">2.  </w:t>
      </w:r>
      <w:r>
        <w:rPr>
          <w:color w:val="1B1A18"/>
          <w:sz w:val="20"/>
          <w:szCs w:val="20"/>
        </w:rPr>
        <w:t xml:space="preserve">The crossing and the property not in custody.</w:t>
      </w:r>
    </w:p>
    <w:p>
      <w:pPr>
        <w:spacing w:after="70" w:line="268"/>
        <w:ind w:left="380" w:hanging="260"/>
      </w:pPr>
      <w:r>
        <w:rPr>
          <w:b/>
          <w:bCs/>
          <w:color w:val="33302B"/>
          <w:sz w:val="20"/>
          <w:szCs w:val="20"/>
        </w:rPr>
        <w:t xml:space="preserve">3.  </w:t>
      </w:r>
      <w:r>
        <w:rPr>
          <w:color w:val="1B1A18"/>
          <w:sz w:val="20"/>
          <w:szCs w:val="20"/>
        </w:rPr>
        <w:t xml:space="preserve">The bill — financial, regulatory, human.</w:t>
      </w:r>
    </w:p>
    <w:p>
      <w:pPr>
        <w:spacing w:after="70" w:line="268"/>
        <w:ind w:left="380" w:hanging="260"/>
      </w:pPr>
      <w:r>
        <w:rPr>
          <w:b/>
          <w:bCs/>
          <w:color w:val="33302B"/>
          <w:sz w:val="20"/>
          <w:szCs w:val="20"/>
        </w:rPr>
        <w:t xml:space="preserve">4.  </w:t>
      </w:r>
      <w:r>
        <w:rPr>
          <w:color w:val="1B1A18"/>
          <w:sz w:val="20"/>
          <w:szCs w:val="20"/>
        </w:rPr>
        <w:t xml:space="preserve">The board decision that would have prevented it, and where it would have been enforced.</w:t>
      </w:r>
    </w:p>
    <w:p>
      <w:pPr>
        <w:spacing w:after="70" w:line="268"/>
        <w:ind w:left="380" w:hanging="260"/>
      </w:pPr>
      <w:r>
        <w:rPr>
          <w:b/>
          <w:bCs/>
          <w:color w:val="33302B"/>
          <w:sz w:val="20"/>
          <w:szCs w:val="20"/>
        </w:rPr>
        <w:t xml:space="preserve">5.  </w:t>
      </w:r>
      <w:r>
        <w:rPr>
          <w:color w:val="1B1A18"/>
          <w:sz w:val="20"/>
          <w:szCs w:val="20"/>
        </w:rPr>
        <w:t xml:space="preserve">One transferable lesson for your own organisation.</w:t>
      </w:r>
    </w:p>
    <w:p>
      <w:pPr>
        <w:pStyle w:val="Heading2"/>
        <w:spacing w:after="90" w:before="220"/>
      </w:pPr>
      <w:r>
        <w:rPr>
          <w:b/>
          <w:bCs/>
          <w:color w:val="1B1A18"/>
          <w:sz w:val="23"/>
          <w:szCs w:val="23"/>
        </w:rPr>
        <w:t xml:space="preserve">Rubric (100 → 20%)</w:t>
      </w:r>
    </w:p>
    <w:tbl>
      <w:tblPr>
        <w:tblW w:type="dxa" w:w="10080"/>
        <w:tblBorders>
          <w:top w:val="single" w:color="D6D2C9" w:sz="4"/>
          <w:left w:val="single" w:color="D6D2C9" w:sz="4"/>
          <w:bottom w:val="single" w:color="D6D2C9" w:sz="4"/>
          <w:right w:val="single" w:color="D6D2C9" w:sz="4"/>
          <w:insideH w:val="single" w:color="D6D2C9" w:sz="4"/>
          <w:insideV w:val="single" w:color="D6D2C9" w:sz="4"/>
        </w:tblBorders>
      </w:tblPr>
      <w:tblGrid>
        <w:gridCol w:w="3400"/>
        <w:gridCol w:w="1200"/>
        <w:gridCol w:w="5480"/>
      </w:tblGrid>
      <w:tr>
        <w:trPr>
          <w:tblHeader/>
        </w:trPr>
        <w:tc>
          <w:tcPr>
            <w:tcW w:type="dxa" w:w="34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Weight</w:t>
            </w:r>
          </w:p>
        </w:tc>
        <w:tc>
          <w:tcPr>
            <w:tcW w:type="dxa" w:w="548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Excellence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Sourcing &amp; accuracy</w:t>
            </w:r>
          </w:p>
        </w:tc>
        <w:tc>
          <w:tcPr>
            <w:tcW w:type="dxa" w:w="1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25</w:t>
            </w:r>
          </w:p>
        </w:tc>
        <w:tc>
          <w:tcPr>
            <w:tcW w:type="dxa" w:w="54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Primary sources; figures precise and current</w:t>
            </w:r>
          </w:p>
        </w:tc>
      </w:tr>
      <w:tr>
        <w:tc>
          <w:tcPr>
            <w:tcW w:type="dxa" w:w="34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Custody diagnosis</w:t>
            </w:r>
          </w:p>
        </w:tc>
        <w:tc>
          <w:tcPr>
            <w:tcW w:type="dxa" w:w="12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30</w:t>
            </w:r>
          </w:p>
        </w:tc>
        <w:tc>
          <w:tcPr>
            <w:tcW w:type="dxa" w:w="548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Crossing and property identified correctly, argued from the damage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The board decision</w:t>
            </w:r>
          </w:p>
        </w:tc>
        <w:tc>
          <w:tcPr>
            <w:tcW w:type="dxa" w:w="1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30</w:t>
            </w:r>
          </w:p>
        </w:tc>
        <w:tc>
          <w:tcPr>
            <w:tcW w:type="dxa" w:w="54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A concrete, structural, preventive decision — not hindsight</w:t>
            </w:r>
          </w:p>
        </w:tc>
      </w:tr>
      <w:tr>
        <w:tc>
          <w:tcPr>
            <w:tcW w:type="dxa" w:w="34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Transfer &amp; writing</w:t>
            </w:r>
          </w:p>
        </w:tc>
        <w:tc>
          <w:tcPr>
            <w:tcW w:type="dxa" w:w="12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15</w:t>
            </w:r>
          </w:p>
        </w:tc>
        <w:tc>
          <w:tcPr>
            <w:tcW w:type="dxa" w:w="548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A real lesson for the student’s own firm; crisp board prose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2C9" w:sz="6"/>
      </w:pBdr>
      <w:spacing w:before="60"/>
      <w:jc w:val="center"/>
    </w:pPr>
    <w:r>
      <w:rPr>
        <w:color w:val="6E6A62"/>
        <w:sz w:val="16"/>
        <w:szCs w:val="16"/>
      </w:rPr>
      <w:t xml:space="preserve">MBA / Exec — Governing the Agentic Enterprise   ·   Page </w:t>
    </w:r>
    <w:r>
      <w:rPr>
        <w:color w:val="6E6A6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2C9" w:sz="6"/>
      </w:pBdr>
      <w:spacing w:after="60"/>
      <w:jc w:val="right"/>
    </w:pPr>
    <w:r>
      <w:rPr>
        <w:caps/>
        <w:color w:val="6E6A62"/>
        <w:sz w:val="16"/>
        <w:szCs w:val="16"/>
      </w:rPr>
      <w:t xml:space="preserve">Assignments &amp; Toolkit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33302B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B1A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5"/>
      <w:szCs w:val="55"/>
    </w:rPr>
  </w:style>
  <w:style w:type="paragraph" w:styleId="Heading1">
    <w:name w:val="Heading 1"/>
    <w:basedOn w:val="Normal"/>
    <w:next w:val="Normal"/>
    <w:qFormat/>
    <w:rPr>
      <w:color w:val="33302B"/>
      <w:sz w:val="31"/>
      <w:szCs w:val="31"/>
    </w:rPr>
  </w:style>
  <w:style w:type="paragraph" w:styleId="Heading2">
    <w:name w:val="Heading 2"/>
    <w:basedOn w:val="Normal"/>
    <w:next w:val="Normal"/>
    <w:qFormat/>
    <w:rPr>
      <w:color w:val="33302B"/>
      <w:sz w:val="25"/>
      <w:szCs w:val="25"/>
    </w:rPr>
  </w:style>
  <w:style w:type="paragraph" w:styleId="Heading3">
    <w:name w:val="Heading 3"/>
    <w:basedOn w:val="Normal"/>
    <w:next w:val="Normal"/>
    <w:qFormat/>
    <w:rPr>
      <w:color w:val="33302B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33302B"/>
    </w:rPr>
  </w:style>
  <w:style w:type="paragraph" w:styleId="Heading5">
    <w:name w:val="Heading 5"/>
    <w:basedOn w:val="Normal"/>
    <w:next w:val="Normal"/>
    <w:qFormat/>
    <w:rPr>
      <w:color w:val="33302B"/>
    </w:rPr>
  </w:style>
  <w:style w:type="paragraph" w:styleId="Heading6">
    <w:name w:val="Heading 6"/>
    <w:basedOn w:val="Normal"/>
    <w:next w:val="Normal"/>
    <w:qFormat/>
    <w:rPr>
      <w:color w:val="33302B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57534A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19"/>
      <w:szCs w:val="19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19"/>
      <w:szCs w:val="19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19"/>
      <w:szCs w:val="19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19"/>
      <w:szCs w:val="19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33302B"/>
      <w:sz w:val="29"/>
      <w:szCs w:val="29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1B1A18"/>
      <w:sz w:val="23"/>
      <w:szCs w:val="23"/>
    </w:rPr>
  </w:style>
  <w:style w:type="paragraph" w:styleId="Heading3">
    <w:name w:val="Heading 3"/>
    <w:basedOn w:val="Normal"/>
    <w:next w:val="Normal"/>
    <w:qFormat/>
    <w:rPr>
      <w:rFonts w:ascii="Georgia" w:cs="Georgia" w:eastAsia="Georgia" w:hAnsi="Georgia"/>
      <w:b/>
      <w:bCs/>
      <w:color w:val="5753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MBA Assignments &amp; Due-Diligence Toolkit</dc:title>
  <dc:creator>MudoZangl — MBA course materials</dc:creator>
  <cp:lastModifiedBy>Un-named</cp:lastModifiedBy>
  <cp:revision>1</cp:revision>
  <dcterms:created xsi:type="dcterms:W3CDTF">2026-08-16T06:10:09.703Z</dcterms:created>
  <dcterms:modified xsi:type="dcterms:W3CDTF">2026-08-16T06:10:09.703Z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