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Instructor guide · self-contained</w:t>
      </w:r>
    </w:p>
    <w:p>
      <w:pPr>
        <w:spacing w:after="60"/>
        <w:jc w:val="center"/>
      </w:pPr>
      <w:r>
        <w:rPr>
          <w:b/>
          <w:bCs/>
          <w:color w:val="1B1A18"/>
          <w:sz w:val="38"/>
          <w:szCs w:val="38"/>
        </w:rPr>
        <w:t xml:space="preserve">MBA / Executive — Governing the Agentic Enterprise</w:t>
      </w:r>
    </w:p>
    <w:p>
      <w:pPr>
        <w:spacing w:after="150"/>
        <w:jc w:val="center"/>
      </w:pPr>
      <w:r>
        <w:rPr>
          <w:i/>
          <w:iCs/>
          <w:color w:val="6E6A62"/>
          <w:sz w:val="23"/>
          <w:szCs w:val="23"/>
        </w:rPr>
        <w:t xml:space="preserve">Instructor guide carrying its own content — 12 sessions</w:t>
      </w:r>
    </w:p>
    <w:p>
      <w:pPr>
        <w:spacing w:after="40"/>
        <w:jc w:val="center"/>
      </w:pPr>
      <w:r>
        <w:rPr>
          <w:color w:val="1B1A18"/>
          <w:sz w:val="20"/>
          <w:szCs w:val="20"/>
        </w:rPr>
        <w:t xml:space="preserve">Teaching a 12-session executive course</w:t>
      </w:r>
    </w:p>
    <w:p>
      <w:pPr>
        <w:spacing w:after="220"/>
        <w:jc w:val="center"/>
      </w:pPr>
      <w:r>
        <w:rPr>
          <w:b/>
          <w:bCs/>
          <w:color w:val="33302B"/>
          <w:sz w:val="18"/>
          <w:szCs w:val="18"/>
        </w:rPr>
        <w:t xml:space="preserve">MZ-EDU-IG-MBA v2.0 · 17 August 2026 · no book lookup required</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What is different about this guide. </w:t>
            </w:r>
            <w:r>
              <w:rPr>
                <w:color w:val="1B1A18"/>
                <w:sz w:val="20"/>
                <w:szCs w:val="20"/>
              </w:rPr>
              <w:t xml:space="preserve">It carries the substance rather than pointing at it. Part A states the law, the derivation, all six properties, the four axioms, the protocol and the rules in full. Part B gives every session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pPr>
              <w:spacing w:after="0" w:line="264"/>
            </w:pPr>
            <w:r>
              <w:rPr>
                <w:b/>
                <w:bCs/>
                <w:color w:val="1B1A18"/>
                <w:sz w:val="20"/>
                <w:szCs w:val="20"/>
              </w:rPr>
              <w:t xml:space="preserve">How to use it on the morning of a session. </w:t>
            </w:r>
            <w:r>
              <w:rPr>
                <w:color w:val="1B1A18"/>
                <w:sz w:val="20"/>
                <w:szCs w:val="20"/>
              </w:rPr>
              <w:t xml:space="preserve">Read that session’s entry in Part B, then the Part A sections it names. Ten minutes. The Part A sections are worth reading once in full before the course opens, because several sessions depend on the derivation holding together.</w:t>
            </w:r>
          </w:p>
        </w:tc>
      </w:tr>
    </w:tbl>
    <w:p>
      <w:pPr>
        <w:pStyle w:val="Heading1"/>
        <w:spacing w:after="130" w:before="300"/>
      </w:pPr>
      <w:r>
        <w:rPr>
          <w:b/>
          <w:bCs/>
          <w:color w:val="33302B"/>
          <w:sz w:val="29"/>
          <w:szCs w:val="29"/>
        </w:rPr>
        <w:t xml:space="preserve">Before the course opens</w:t>
      </w:r>
    </w:p>
    <w:p>
      <w:pPr>
        <w:spacing w:after="120" w:before="0" w:line="276"/>
      </w:pPr>
      <w:r>
        <w:rPr>
          <w:b w:val="false"/>
          <w:bCs w:val="false"/>
          <w:i w:val="false"/>
          <w:iCs w:val="false"/>
          <w:color w:val="1B1A18"/>
          <w:sz w:val="20"/>
          <w:szCs w:val="20"/>
        </w:rPr>
        <w:t xml:space="preserve">Two things govern this course. Executives engage with a case and disengage from a taxonomy, so the six properties should always arrive as the explanation of something the room has already agreed is puzzling — never as an opening framework. And the room will try to convert conserved quantities into a maturity model to be scored, which is precisely the error session 3 exists to prevent: a score of three out of five on a never is a breach with a frequency.</w:t>
      </w:r>
    </w:p>
    <w:p>
      <w:pPr>
        <w:spacing w:after="120" w:before="0" w:line="276"/>
      </w:pPr>
      <w:r>
        <w:rPr>
          <w:b w:val="false"/>
          <w:bCs w:val="false"/>
          <w:i w:val="false"/>
          <w:iCs w:val="false"/>
          <w:color w:val="1B1A18"/>
          <w:sz w:val="20"/>
          <w:szCs w:val="20"/>
        </w:rPr>
        <w:t xml:space="preserve">The most persuasive thirty seconds in the course is arithmetic, not argument: in session 7, put the room’s own review volumes on the board against minutes per item, and let them compute what their oversight control actually is.</w:t>
      </w:r>
    </w:p>
    <w:p>
      <w:pPr>
        <w:pStyle w:val="Heading1"/>
        <w:spacing w:after="130" w:before="300"/>
      </w:pPr>
      <w:r>
        <w:rPr>
          <w:b/>
          <w:bCs/>
          <w:color w:val="33302B"/>
          <w:sz w:val="29"/>
          <w:szCs w:val="29"/>
        </w:rPr>
        <w:t xml:space="preserve">Part A · The argument in full</w:t>
      </w:r>
    </w:p>
    <w:p>
      <w:pPr>
        <w:spacing w:after="140" w:line="276"/>
      </w:pPr>
      <w:r>
        <w:rPr>
          <w:i/>
          <w:iCs/>
          <w:color w:val="6E6A62"/>
          <w:sz w:val="20"/>
          <w:szCs w:val="20"/>
        </w:rPr>
        <w:t xml:space="preserve">Everything an instructor needs in order to teach this course, stated here rather than referenced. No chapter lookup is required for any session in Part B. Read Part A once before the course opens; consult individual sections before individual sessions.</w:t>
      </w:r>
    </w:p>
    <w:p>
      <w:pPr>
        <w:pStyle w:val="Heading2"/>
        <w:spacing w:after="90" w:before="220"/>
      </w:pPr>
      <w:r>
        <w:rPr>
          <w:b/>
          <w:bCs/>
          <w:color w:val="33302B"/>
          <w:sz w:val="23"/>
          <w:szCs w:val="23"/>
        </w:rPr>
        <w:t xml:space="preserve">A.1 · The two observations and the law</w:t>
      </w:r>
    </w:p>
    <w:p>
      <w:pPr>
        <w:spacing w:after="120" w:before="0" w:line="276"/>
      </w:pPr>
      <w:r>
        <w:rPr>
          <w:b w:val="false"/>
          <w:bCs w:val="false"/>
          <w:i w:val="false"/>
          <w:iCs w:val="false"/>
          <w:color w:val="1B1A18"/>
          <w:sz w:val="20"/>
          <w:szCs w:val="20"/>
        </w:rP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because it was salaried and therefore invisible.</w:t>
      </w:r>
    </w:p>
    <w:p>
      <w:pPr>
        <w:spacing w:after="10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law. </w:t>
            </w:r>
            <w:r>
              <w:rPr>
                <w:i/>
                <w:iCs/>
                <w:color w:val="1B1A18"/>
                <w:sz w:val="20"/>
                <w:szCs w:val="20"/>
              </w:rPr>
              <w:t xml:space="preserve">Enterprise architecture is the custody of organisational properties under movement.</w:t>
            </w:r>
          </w:p>
          <w:p>
            <w:pPr>
              <w:spacing w:after="0" w:line="264"/>
            </w:pPr>
            <w:r>
              <w:rPr>
                <w:b/>
                <w:bCs/>
                <w:color w:val="1B1A18"/>
                <w:sz w:val="20"/>
                <w:szCs w:val="20"/>
              </w:rPr>
              <w:t xml:space="preserve">The unit. </w:t>
            </w:r>
            <w:r>
              <w:rPr>
                <w:i/>
                <w:iCs/>
                <w:color w:val="1B1A18"/>
                <w:sz w:val="20"/>
                <w:szCs w:val="20"/>
              </w:rPr>
              <w:t xml:space="preserve">The unit of enterprise architecture is the crossing.</w:t>
            </w:r>
          </w:p>
        </w:tc>
      </w:tr>
    </w:tbl>
    <w:p>
      <w:pPr>
        <w:spacing w:after="120"/>
      </w:pPr>
    </w:p>
    <w:p>
      <w:pPr>
        <w:spacing w:after="120" w:before="0" w:line="276"/>
      </w:pPr>
      <w:r>
        <w:rPr>
          <w:b w:val="false"/>
          <w:bCs w:val="false"/>
          <w:i w:val="false"/>
          <w:iCs w:val="false"/>
          <w:color w:val="1B1A18"/>
          <w:sz w:val="20"/>
          <w:szCs w:val="20"/>
        </w:rPr>
        <w:t xml:space="preserve">Read the law as a redefinition of the discipline, because that is what it is. The conventional understanding — that enterprise architecture is the design and rationalisation of systems — targets the replaceable part. Designing systems well is necessary and honourable work but it is not the essential work, any more than facilities management is, however necessary buildings may be.</w:t>
      </w:r>
    </w:p>
    <w:p>
      <w:pPr>
        <w:spacing w:after="120" w:before="0" w:line="276"/>
      </w:pPr>
      <w:r>
        <w:rPr>
          <w:b w:val="false"/>
          <w:bCs w:val="false"/>
          <w:i w:val="false"/>
          <w:iCs w:val="false"/>
          <w:color w:val="1B1A18"/>
          <w:sz w:val="20"/>
          <w:szCs w:val="20"/>
        </w:rPr>
        <w:t xml:space="preserve">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pPr>
        <w:pStyle w:val="Heading2"/>
        <w:spacing w:after="90" w:before="220"/>
      </w:pPr>
      <w:r>
        <w:rPr>
          <w:b/>
          <w:bCs/>
          <w:color w:val="33302B"/>
          <w:sz w:val="23"/>
          <w:szCs w:val="23"/>
        </w:rPr>
        <w:t xml:space="preserve">A.2 · Why exactly six properties</w:t>
      </w:r>
    </w:p>
    <w:p>
      <w:pPr>
        <w:spacing w:after="120" w:before="0" w:line="276"/>
      </w:pPr>
      <w:r>
        <w:rPr>
          <w:b w:val="false"/>
          <w:bCs w:val="false"/>
          <w:i w:val="false"/>
          <w:iCs w:val="false"/>
          <w:color w:val="1B1A18"/>
          <w:sz w:val="20"/>
          <w:szCs w:val="20"/>
        </w:rPr>
        <w:t xml:space="preserve">Students at every level ask why six, and the derivation is the answer. It is not a list gathered from observation; it falls out of the structure of a crossing.</w:t>
      </w:r>
    </w:p>
    <w:p>
      <w:pPr>
        <w:spacing w:after="120" w:before="0" w:line="276"/>
      </w:pPr>
      <w:r>
        <w:rPr>
          <w:b w:val="false"/>
          <w:bCs w:val="false"/>
          <w:i w:val="false"/>
          <w:iCs w:val="false"/>
          <w:color w:val="1B1A18"/>
          <w:sz w:val="20"/>
          <w:szCs w:val="20"/>
        </w:rP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what the work is, who stands behind it, and what it leaves. And each fails in a way the other two cannot detect: authority does not repair a misunderstanding, a record does not confer a right, and meaning does not attribute an action.</w:t>
      </w:r>
    </w:p>
    <w:p>
      <w:pPr>
        <w:spacing w:after="120" w:before="0" w:line="276"/>
      </w:pPr>
      <w:r>
        <w:rPr>
          <w:b w:val="false"/>
          <w:bCs w:val="false"/>
          <w:i w:val="false"/>
          <w:iCs w:val="false"/>
          <w:color w:val="1B1A18"/>
          <w:sz w:val="20"/>
          <w:szCs w:val="20"/>
        </w:rPr>
        <w:t xml:space="preserve">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the field persists, which demands one property more: what the enterprise learned at one crossing must be available at every later one — memory.</w:t>
      </w:r>
    </w:p>
    <w:p>
      <w:pPr>
        <w:spacing w:after="120" w:before="0" w:line="276"/>
      </w:pPr>
      <w:r>
        <w:rPr>
          <w:b w:val="false"/>
          <w:bCs w:val="false"/>
          <w:i w:val="false"/>
          <w:iCs w:val="false"/>
          <w:color w:val="1B1A18"/>
          <w:sz w:val="20"/>
          <w:szCs w:val="20"/>
        </w:rPr>
        <w:t xml:space="preserve">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pPr>
        <w:spacing w:after="70" w:before="160"/>
      </w:pPr>
      <w:r>
        <w:rPr>
          <w:b/>
          <w:bCs/>
          <w:color w:val="57534A"/>
          <w:sz w:val="20"/>
          <w:szCs w:val="20"/>
        </w:rPr>
        <w:t xml:space="preserve">The collapse of the usual candidates — have this ready, it is asked every time</w:t>
      </w:r>
    </w:p>
    <w:p>
      <w:pPr>
        <w:pStyle w:val="ListParagraph"/>
        <w:numPr>
          <w:ilvl w:val="0"/>
          <w:numId w:val="2"/>
        </w:numPr>
        <w:spacing w:after="70" w:line="276"/>
      </w:pPr>
      <w:r>
        <w:rPr>
          <w:b/>
          <w:bCs/>
          <w:color w:val="1B1A18"/>
          <w:sz w:val="20"/>
          <w:szCs w:val="20"/>
        </w:rPr>
        <w:t xml:space="preserve">Security and confidentiality </w:t>
      </w:r>
      <w:r>
        <w:rPr>
          <w:color w:val="1B1A18"/>
          <w:sz w:val="20"/>
          <w:szCs w:val="20"/>
        </w:rPr>
        <w:t xml:space="preserve">are authority applied to reading and acting. A breach is an authority failure: a right that travelled to someone who did not hold it.</w:t>
      </w:r>
    </w:p>
    <w:p>
      <w:pPr>
        <w:pStyle w:val="ListParagraph"/>
        <w:numPr>
          <w:ilvl w:val="0"/>
          <w:numId w:val="2"/>
        </w:numPr>
        <w:spacing w:after="70" w:line="276"/>
      </w:pPr>
      <w:r>
        <w:rPr>
          <w:b/>
          <w:bCs/>
          <w:color w:val="1B1A18"/>
          <w:sz w:val="20"/>
          <w:szCs w:val="20"/>
        </w:rPr>
        <w:t xml:space="preserve">Privacy </w:t>
      </w:r>
      <w:r>
        <w:rPr>
          <w:color w:val="1B1A18"/>
          <w:sz w:val="20"/>
          <w:szCs w:val="20"/>
        </w:rPr>
        <w:t xml:space="preserve">is two of the six under a legal name — authority over who may touch personal data, and context binding that data to its purpose.</w:t>
      </w:r>
    </w:p>
    <w:p>
      <w:pPr>
        <w:pStyle w:val="ListParagraph"/>
        <w:numPr>
          <w:ilvl w:val="0"/>
          <w:numId w:val="2"/>
        </w:numPr>
        <w:spacing w:after="70" w:line="276"/>
      </w:pPr>
      <w:r>
        <w:rPr>
          <w:b/>
          <w:bCs/>
          <w:color w:val="1B1A18"/>
          <w:sz w:val="20"/>
          <w:szCs w:val="20"/>
        </w:rPr>
        <w:t xml:space="preserve">Auditability </w:t>
      </w:r>
      <w:r>
        <w:rPr>
          <w:color w:val="1B1A18"/>
          <w:sz w:val="20"/>
          <w:szCs w:val="20"/>
        </w:rPr>
        <w:t xml:space="preserve">is accountability observed over time. A system that carries accountability is auditable by construction, and one that does not cannot be made so by adding a feature with that name.</w:t>
      </w:r>
    </w:p>
    <w:p>
      <w:pPr>
        <w:pStyle w:val="ListParagraph"/>
        <w:numPr>
          <w:ilvl w:val="0"/>
          <w:numId w:val="2"/>
        </w:numPr>
        <w:spacing w:after="70" w:line="276"/>
      </w:pPr>
      <w:r>
        <w:rPr>
          <w:b/>
          <w:bCs/>
          <w:color w:val="1B1A18"/>
          <w:sz w:val="20"/>
          <w:szCs w:val="20"/>
        </w:rPr>
        <w:t xml:space="preserve">Integrity of the record </w:t>
      </w:r>
      <w:r>
        <w:rPr>
          <w:color w:val="1B1A18"/>
          <w:sz w:val="20"/>
          <w:szCs w:val="20"/>
        </w:rPr>
        <w:t xml:space="preserve">is memory’s ceremony condition, not a seventh obligation.</w:t>
      </w:r>
    </w:p>
    <w:p>
      <w:pPr>
        <w:pStyle w:val="ListParagraph"/>
        <w:numPr>
          <w:ilvl w:val="0"/>
          <w:numId w:val="2"/>
        </w:numPr>
        <w:spacing w:after="70" w:line="276"/>
      </w:pPr>
      <w:r>
        <w:rPr>
          <w:b/>
          <w:bCs/>
          <w:color w:val="1B1A18"/>
          <w:sz w:val="20"/>
          <w:szCs w:val="20"/>
        </w:rPr>
        <w:t xml:space="preserve">Compliance </w:t>
      </w:r>
      <w:r>
        <w:rPr>
          <w:color w:val="1B1A18"/>
          <w:sz w:val="20"/>
          <w:szCs w:val="20"/>
        </w:rPr>
        <w:t xml:space="preserve">is the clearest collapse of all: coherence pointed at an external rule-maker, evidenced by accountability, bounded by authority. An enterprise that holds the six is compliant on demand.</w:t>
      </w:r>
    </w:p>
    <w:p>
      <w:pPr>
        <w:pStyle w:val="Heading2"/>
        <w:spacing w:after="90" w:before="220"/>
      </w:pPr>
      <w:r>
        <w:rPr>
          <w:b/>
          <w:bCs/>
          <w:color w:val="33302B"/>
          <w:sz w:val="23"/>
          <w:szCs w:val="23"/>
        </w:rPr>
        <w:t xml:space="preserve">A.3 · The six properties, in full</w:t>
      </w:r>
    </w:p>
    <w:p>
      <w:pPr>
        <w:spacing w:after="140" w:line="276"/>
      </w:pPr>
      <w:r>
        <w:rPr>
          <w:i/>
          <w:iCs/>
          <w:color w:val="6E6A62"/>
          <w:sz w:val="20"/>
          <w:szCs w:val="20"/>
        </w:rPr>
        <w:t xml:space="preserve">Each property is given as definition, custody requirement, characteristic failure, and the diagnostic test. The failures are the teaching instrument: a missing property cannot be seen directly, but its absence can be recognised by the damage.</w:t>
      </w:r>
    </w:p>
    <w:p>
      <w:pPr>
        <w:spacing w:after="70" w:before="160"/>
      </w:pPr>
      <w:r>
        <w:rPr>
          <w:b/>
          <w:bCs/>
          <w:color w:val="57534A"/>
          <w:sz w:val="20"/>
          <w:szCs w:val="20"/>
        </w:rPr>
        <w:t xml:space="preserve">A.3.1 · Context</w:t>
      </w:r>
    </w:p>
    <w:p>
      <w:pPr>
        <w:spacing w:after="120" w:before="0" w:line="276"/>
      </w:pPr>
      <w:r>
        <w:rPr>
          <w:b w:val="false"/>
          <w:bCs w:val="false"/>
          <w:i w:val="false"/>
          <w:iCs w:val="false"/>
          <w:color w:val="1B1A18"/>
          <w:sz w:val="20"/>
          <w:szCs w:val="20"/>
        </w:rPr>
        <w:t xml:space="preserve">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pPr>
        <w:spacing w:after="120" w:before="0" w:line="276"/>
      </w:pPr>
      <w:r>
        <w:rPr>
          <w:b w:val="false"/>
          <w:bCs w:val="false"/>
          <w:i w:val="false"/>
          <w:iCs w:val="false"/>
          <w:color w:val="1B1A18"/>
          <w:sz w:val="20"/>
          <w:szCs w:val="20"/>
        </w:rPr>
        <w:t xml:space="preserve">Custody requirement. That meaning travels with the work — that what arrives at each destination is not merely the payload but the payload’s significance.</w:t>
      </w:r>
    </w:p>
    <w:p>
      <w:pPr>
        <w:spacing w:after="120" w:before="0" w:line="276"/>
      </w:pPr>
      <w:r>
        <w:rPr>
          <w:b w:val="false"/>
          <w:bCs w:val="false"/>
          <w:i w:val="false"/>
          <w:iCs w:val="false"/>
          <w:color w:val="1B1A18"/>
          <w:sz w:val="20"/>
          <w:szCs w:val="20"/>
        </w:rPr>
        <w:t xml:space="preserve">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pPr>
        <w:spacing w:after="120" w:before="0" w:line="276"/>
      </w:pPr>
      <w:r>
        <w:rPr>
          <w:b w:val="false"/>
          <w:bCs w:val="false"/>
          <w:i/>
          <w:iCs/>
          <w:color w:val="6E6A62"/>
          <w:sz w:val="20"/>
          <w:szCs w:val="20"/>
        </w:rPr>
        <w:t xml:space="preserve">The test. Pick any piece of work mid-journey and ask the receiving side not what the data says, but what it means and why it is constrained. If the answer requires a phone call, context is not in custody.</w:t>
      </w:r>
    </w:p>
    <w:p>
      <w:pPr>
        <w:spacing w:after="70" w:before="160"/>
      </w:pPr>
      <w:r>
        <w:rPr>
          <w:b/>
          <w:bCs/>
          <w:color w:val="57534A"/>
          <w:sz w:val="20"/>
          <w:szCs w:val="20"/>
        </w:rPr>
        <w:t xml:space="preserve">A.3.2 · Authority</w:t>
      </w:r>
    </w:p>
    <w:p>
      <w:pPr>
        <w:spacing w:after="120" w:before="0" w:line="276"/>
      </w:pPr>
      <w:r>
        <w:rPr>
          <w:b w:val="false"/>
          <w:bCs w:val="false"/>
          <w:i w:val="false"/>
          <w:iCs w:val="false"/>
          <w:color w:val="1B1A18"/>
          <w:sz w:val="20"/>
          <w:szCs w:val="20"/>
        </w:rPr>
        <w:t xml:space="preserve">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pPr>
        <w:spacing w:after="120" w:before="0" w:line="276"/>
      </w:pPr>
      <w:r>
        <w:rPr>
          <w:b w:val="false"/>
          <w:bCs w:val="false"/>
          <w:i w:val="false"/>
          <w:iCs w:val="false"/>
          <w:color w:val="1B1A18"/>
          <w:sz w:val="20"/>
          <w:szCs w:val="20"/>
        </w:rPr>
        <w:t xml:space="preserve">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pPr>
        <w:spacing w:after="120" w:before="0" w:line="276"/>
      </w:pPr>
      <w:r>
        <w:rPr>
          <w:b w:val="false"/>
          <w:bCs w:val="false"/>
          <w:i w:val="false"/>
          <w:iCs w:val="false"/>
          <w:color w:val="1B1A18"/>
          <w:sz w:val="20"/>
          <w:szCs w:val="20"/>
        </w:rPr>
        <w:t xml:space="preserve">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pPr>
        <w:spacing w:after="120" w:before="0" w:line="276"/>
      </w:pPr>
      <w:r>
        <w:rPr>
          <w:b w:val="false"/>
          <w:bCs w:val="false"/>
          <w:i/>
          <w:iCs/>
          <w:color w:val="6E6A62"/>
          <w:sz w:val="20"/>
          <w:szCs w:val="20"/>
        </w:rPr>
        <w:t xml:space="preserve">The test. For any consequential action ask: who may decide this, and under which delegation? Then time how long the true answer takes and how many systems must be consulted to assemble it.</w:t>
      </w:r>
    </w:p>
    <w:p>
      <w:pPr>
        <w:spacing w:after="70" w:before="160"/>
      </w:pPr>
      <w:r>
        <w:rPr>
          <w:b/>
          <w:bCs/>
          <w:color w:val="57534A"/>
          <w:sz w:val="20"/>
          <w:szCs w:val="20"/>
        </w:rPr>
        <w:t xml:space="preserve">A.3.3 · Accountability</w:t>
      </w:r>
    </w:p>
    <w:p>
      <w:pPr>
        <w:spacing w:after="120" w:before="0" w:line="276"/>
      </w:pPr>
      <w:r>
        <w:rPr>
          <w:b w:val="false"/>
          <w:bCs w:val="false"/>
          <w:i w:val="false"/>
          <w:iCs w:val="false"/>
          <w:color w:val="1B1A18"/>
          <w:sz w:val="20"/>
          <w:szCs w:val="20"/>
        </w:rPr>
        <w:t xml:space="preserve">The attribution of every action to an authority, after the fact, with evidence. Not blame — attribution.</w:t>
      </w:r>
    </w:p>
    <w:p>
      <w:pPr>
        <w:spacing w:after="120" w:before="0" w:line="276"/>
      </w:pPr>
      <w:r>
        <w:rPr>
          <w:b w:val="false"/>
          <w:bCs w:val="false"/>
          <w:i w:val="false"/>
          <w:iCs w:val="false"/>
          <w:color w:val="1B1A18"/>
          <w:sz w:val="20"/>
          <w:szCs w:val="20"/>
        </w:rPr>
        <w:t xml:space="preserve">Custody requirement. That provenance is a by-product of execution: every action carries who acted, under which right, through which boundary, with what result, because the structure attached those facts at the moment of action — not because someone assembled them afterwards.</w:t>
      </w:r>
    </w:p>
    <w:p>
      <w:pPr>
        <w:spacing w:after="120" w:before="0" w:line="276"/>
      </w:pPr>
      <w:r>
        <w:rPr>
          <w:b w:val="false"/>
          <w:bCs w:val="false"/>
          <w:i w:val="false"/>
          <w:iCs w:val="false"/>
          <w:color w:val="1B1A18"/>
          <w:sz w:val="20"/>
          <w:szCs w:val="20"/>
        </w:rPr>
        <w:t xml:space="preserve">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held are not culture problems; they are the behavioural shadow of an architectural absence.</w:t>
      </w:r>
    </w:p>
    <w:p>
      <w:pPr>
        <w:spacing w:after="120" w:before="0" w:line="276"/>
      </w:pPr>
      <w:r>
        <w:rPr>
          <w:b w:val="false"/>
          <w:bCs w:val="false"/>
          <w:i/>
          <w:iCs/>
          <w:color w:val="6E6A62"/>
          <w:sz w:val="20"/>
          <w:szCs w:val="20"/>
        </w:rPr>
        <w:t xml:space="preserve">The test. Take a consequential action from ninety days ago and produce its full attribution — who, under which right, with what result. If the answer is a project rather than a query, accountability is not in custody.</w:t>
      </w:r>
    </w:p>
    <w:p>
      <w:pPr>
        <w:spacing w:after="70" w:before="160"/>
      </w:pPr>
      <w:r>
        <w:rPr>
          <w:b/>
          <w:bCs/>
          <w:color w:val="57534A"/>
          <w:sz w:val="20"/>
          <w:szCs w:val="20"/>
        </w:rPr>
        <w:t xml:space="preserve">A.3.4 · Coordination</w:t>
      </w:r>
    </w:p>
    <w:p>
      <w:pPr>
        <w:spacing w:after="120" w:before="0" w:line="276"/>
      </w:pPr>
      <w:r>
        <w:rPr>
          <w:b w:val="false"/>
          <w:bCs w:val="false"/>
          <w:i w:val="false"/>
          <w:iCs w:val="false"/>
          <w:color w:val="1B1A18"/>
          <w:sz w:val="20"/>
          <w:szCs w:val="20"/>
        </w:rPr>
        <w:t xml:space="preserve">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pPr>
        <w:spacing w:after="120" w:before="0" w:line="276"/>
      </w:pPr>
      <w:r>
        <w:rPr>
          <w:b w:val="false"/>
          <w:bCs w:val="false"/>
          <w:i w:val="false"/>
          <w:iCs w:val="false"/>
          <w:color w:val="1B1A18"/>
          <w:sz w:val="20"/>
          <w:szCs w:val="20"/>
        </w:rPr>
        <w:t xml:space="preserve">Custody requirement. Shared invariants enforced at every seam: whatever crosses, crosses under the same meanings and the same constraints, guaranteed on both sides.</w:t>
      </w:r>
    </w:p>
    <w:p>
      <w:pPr>
        <w:spacing w:after="120" w:before="0" w:line="276"/>
      </w:pPr>
      <w:r>
        <w:rPr>
          <w:b w:val="false"/>
          <w:bCs w:val="false"/>
          <w:i w:val="false"/>
          <w:iCs w:val="false"/>
          <w:color w:val="1B1A18"/>
          <w:sz w:val="20"/>
          <w:szCs w:val="20"/>
        </w:rPr>
        <w:t xml:space="preserve">Characteristic failure. Degradation into pairwise treaties. Each pair of systems negotiates a private integration understood by the project that built it and nobody afterwards. Every pair coordinates; the enterprise coordinates nowhere. The endpoint is an organisation whose intent has no representation anywhere in its landscape — the strategy exists in documents, and the documents live nowhere the work passes.</w:t>
      </w:r>
    </w:p>
    <w:p>
      <w:pPr>
        <w:spacing w:after="120" w:before="0" w:line="276"/>
      </w:pPr>
      <w:r>
        <w:rPr>
          <w:b w:val="false"/>
          <w:bCs w:val="false"/>
          <w:i/>
          <w:iCs/>
          <w:color w:val="6E6A62"/>
          <w:sz w:val="20"/>
          <w:szCs w:val="20"/>
        </w:rPr>
        <w:t xml:space="preserve">The test. Choose one enterprise-level intent and trace where it is represented as an enforceable object rather than a document, along the path the work actually travels. If the trace comes up empty, the enterprise is integrated, not coordinated.</w:t>
      </w:r>
    </w:p>
    <w:p>
      <w:pPr>
        <w:spacing w:after="70" w:before="160"/>
      </w:pPr>
      <w:r>
        <w:rPr>
          <w:b/>
          <w:bCs/>
          <w:color w:val="57534A"/>
          <w:sz w:val="20"/>
          <w:szCs w:val="20"/>
        </w:rPr>
        <w:t xml:space="preserve">A.3.5 · Execution coherence</w:t>
      </w:r>
    </w:p>
    <w:p>
      <w:pPr>
        <w:spacing w:after="120" w:before="0" w:line="276"/>
      </w:pPr>
      <w:r>
        <w:rPr>
          <w:b w:val="false"/>
          <w:bCs w:val="false"/>
          <w:i w:val="false"/>
          <w:iCs w:val="false"/>
          <w:color w:val="1B1A18"/>
          <w:sz w:val="20"/>
          <w:szCs w:val="20"/>
        </w:rPr>
        <w:t xml:space="preserve">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pPr>
        <w:spacing w:after="120" w:before="0" w:line="276"/>
      </w:pPr>
      <w:r>
        <w:rPr>
          <w:b w:val="false"/>
          <w:bCs w:val="false"/>
          <w:i w:val="false"/>
          <w:iCs w:val="false"/>
          <w:color w:val="1B1A18"/>
          <w:sz w:val="20"/>
          <w:szCs w:val="20"/>
        </w:rPr>
        <w:t xml:space="preserve">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pPr>
        <w:spacing w:after="120" w:before="0" w:line="276"/>
      </w:pPr>
      <w:r>
        <w:rPr>
          <w:b w:val="false"/>
          <w:bCs w:val="false"/>
          <w:i w:val="false"/>
          <w:iCs w:val="false"/>
          <w:color w:val="1B1A18"/>
          <w:sz w:val="20"/>
          <w:szCs w:val="20"/>
        </w:rPr>
        <w:t xml:space="preserve">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pPr>
        <w:spacing w:after="120" w:before="0" w:line="276"/>
      </w:pPr>
      <w:r>
        <w:rPr>
          <w:b w:val="false"/>
          <w:bCs w:val="false"/>
          <w:i/>
          <w:iCs/>
          <w:color w:val="6E6A62"/>
          <w:sz w:val="20"/>
          <w:szCs w:val="20"/>
        </w:rPr>
        <w:t xml:space="preserve">The test. State one non-negotiable, then enter through three different doors — three systems, three channels, three interfaces — and check whether it holds identically at each. One exception disproves coherence; that is what non-negotiable means.</w:t>
      </w:r>
    </w:p>
    <w:p>
      <w:pPr>
        <w:spacing w:after="70" w:before="160"/>
      </w:pPr>
      <w:r>
        <w:rPr>
          <w:b/>
          <w:bCs/>
          <w:color w:val="57534A"/>
          <w:sz w:val="20"/>
          <w:szCs w:val="20"/>
        </w:rPr>
        <w:t xml:space="preserve">A.3.6 · Institutional memory</w:t>
      </w:r>
    </w:p>
    <w:p>
      <w:pPr>
        <w:spacing w:after="120" w:before="0" w:line="276"/>
      </w:pPr>
      <w:r>
        <w:rPr>
          <w:b w:val="false"/>
          <w:bCs w:val="false"/>
          <w:i w:val="false"/>
          <w:iCs w:val="false"/>
          <w:color w:val="1B1A18"/>
          <w:sz w:val="20"/>
          <w:szCs w:val="20"/>
        </w:rPr>
        <w:t xml:space="preserve">What the organisation knows independent of who is present today: decisions and their reasons, precedents, learned constraints, the lessons paid for in its own history. The property with the longest time constant and historically the most tolerated failure.</w:t>
      </w:r>
    </w:p>
    <w:p>
      <w:pPr>
        <w:spacing w:after="120" w:before="0" w:line="276"/>
      </w:pPr>
      <w:r>
        <w:rPr>
          <w:b w:val="false"/>
          <w:bCs w:val="false"/>
          <w:i w:val="false"/>
          <w:iCs w:val="false"/>
          <w:color w:val="1B1A18"/>
          <w:sz w:val="20"/>
          <w:szCs w:val="20"/>
        </w:rPr>
        <w:t xml:space="preserve">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pPr>
        <w:spacing w:after="120" w:before="0" w:line="276"/>
      </w:pPr>
      <w:r>
        <w:rPr>
          <w:b w:val="false"/>
          <w:bCs w:val="false"/>
          <w:i w:val="false"/>
          <w:iCs w:val="false"/>
          <w:color w:val="1B1A18"/>
          <w:sz w:val="20"/>
          <w:szCs w:val="20"/>
        </w:rPr>
        <w:t xml:space="preserve">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The next consumers bring no buffer.</w:t>
      </w:r>
    </w:p>
    <w:p>
      <w:pPr>
        <w:spacing w:after="120" w:before="0" w:line="276"/>
      </w:pPr>
      <w:r>
        <w:rPr>
          <w:b w:val="false"/>
          <w:bCs w:val="false"/>
          <w:i/>
          <w:iCs/>
          <w:color w:val="6E6A62"/>
          <w:sz w:val="20"/>
          <w:szCs w:val="20"/>
        </w:rPr>
        <w:t xml:space="preserve">The test. Identify a lesson the organisation paid heavily to learn more than five years ago and ask where it is written, who vouched for it, and what consults it today. If the answer is a person, the memory is not institutional — it is borrowed.</w:t>
      </w:r>
    </w:p>
    <w:p>
      <w:pPr>
        <w:pStyle w:val="Heading2"/>
        <w:spacing w:after="90" w:before="220"/>
      </w:pPr>
      <w:r>
        <w:rPr>
          <w:b/>
          <w:bCs/>
          <w:color w:val="33302B"/>
          <w:sz w:val="23"/>
          <w:szCs w:val="23"/>
        </w:rPr>
        <w:t xml:space="preserve">A.4 · The four axioms</w:t>
      </w:r>
    </w:p>
    <w:p>
      <w:pPr>
        <w:spacing w:after="120" w:before="0" w:line="276"/>
      </w:pPr>
      <w:r>
        <w:rPr>
          <w:b w:val="false"/>
          <w:bCs w:val="false"/>
          <w:i w:val="false"/>
          <w:iCs w:val="false"/>
          <w:color w:val="1B1A18"/>
          <w:sz w:val="20"/>
          <w:szCs w:val="20"/>
        </w:rPr>
        <w:t xml:space="preserve">Four facts about the world that enterprise agentic systems must satisfy simultaneously. Each alone is survivable; jointly they eliminate two things the industry keeps trying.</w:t>
      </w:r>
    </w:p>
    <w:p>
      <w:pPr>
        <w:spacing w:after="70" w:before="160"/>
      </w:pPr>
      <w:r>
        <w:rPr>
          <w:b/>
          <w:bCs/>
          <w:color w:val="57534A"/>
          <w:sz w:val="20"/>
          <w:szCs w:val="20"/>
        </w:rPr>
        <w:t xml:space="preserve">Axiom 1 · Regulatory determinism</w:t>
      </w:r>
    </w:p>
    <w:p>
      <w:pPr>
        <w:spacing w:after="120" w:before="0" w:line="276"/>
      </w:pPr>
      <w:r>
        <w:rPr>
          <w:b/>
          <w:bCs/>
          <w:i/>
          <w:iCs/>
          <w:color w:val="1B1A18"/>
          <w:sz w:val="20"/>
          <w:szCs w:val="20"/>
        </w:rPr>
        <w:t xml:space="preserve">In a regulated domain, governance must be deterministic, inspectable, and provable after the fact.</w:t>
      </w:r>
    </w:p>
    <w:p>
      <w:pPr>
        <w:spacing w:after="120" w:before="0" w:line="276"/>
      </w:pPr>
      <w:r>
        <w:rPr>
          <w:b w:val="false"/>
          <w:bCs w:val="false"/>
          <w:i w:val="false"/>
          <w:iCs w:val="false"/>
          <w:color w:val="1B1A18"/>
          <w:sz w:val="20"/>
          <w:szCs w:val="20"/>
        </w:rPr>
        <w:t xml:space="preserve">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pPr>
        <w:spacing w:after="70" w:before="160"/>
      </w:pPr>
      <w:r>
        <w:rPr>
          <w:b/>
          <w:bCs/>
          <w:color w:val="57534A"/>
          <w:sz w:val="20"/>
          <w:szCs w:val="20"/>
        </w:rPr>
        <w:t xml:space="preserve">Axiom 2 · Probabilistic behaviour</w:t>
      </w:r>
    </w:p>
    <w:p>
      <w:pPr>
        <w:spacing w:after="120" w:before="0" w:line="276"/>
      </w:pPr>
      <w:r>
        <w:rPr>
          <w:b/>
          <w:bCs/>
          <w:i/>
          <w:iCs/>
          <w:color w:val="1B1A18"/>
          <w:sz w:val="20"/>
          <w:szCs w:val="20"/>
        </w:rPr>
        <w:t xml:space="preserve">Large language model output is probabilistic. The same input can produce different outputs; adversarial input can produce arbitrary outputs.</w:t>
      </w:r>
    </w:p>
    <w:p>
      <w:pPr>
        <w:spacing w:after="120" w:before="0" w:line="276"/>
      </w:pPr>
      <w:r>
        <w:rPr>
          <w:b w:val="false"/>
          <w:bCs w:val="false"/>
          <w:i w:val="false"/>
          <w:iCs w:val="false"/>
          <w:color w:val="1B1A18"/>
          <w:sz w:val="20"/>
          <w:szCs w:val="20"/>
        </w:rPr>
        <w:t xml:space="preserve">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pPr>
        <w:spacing w:after="70" w:before="160"/>
      </w:pPr>
      <w:r>
        <w:rPr>
          <w:b/>
          <w:bCs/>
          <w:color w:val="57534A"/>
          <w:sz w:val="20"/>
          <w:szCs w:val="20"/>
        </w:rPr>
        <w:t xml:space="preserve">Axiom 3 · Perpetual variance</w:t>
      </w:r>
    </w:p>
    <w:p>
      <w:pPr>
        <w:spacing w:after="120" w:before="0" w:line="276"/>
      </w:pPr>
      <w:r>
        <w:rPr>
          <w:b/>
          <w:bCs/>
          <w:i/>
          <w:iCs/>
          <w:color w:val="1B1A18"/>
          <w:sz w:val="20"/>
          <w:szCs w:val="20"/>
        </w:rPr>
        <w:t xml:space="preserve">Models, regulations, tenants, and domains change at independent, externally imposed rates.</w:t>
      </w:r>
    </w:p>
    <w:p>
      <w:pPr>
        <w:spacing w:after="120" w:before="0" w:line="276"/>
      </w:pPr>
      <w:r>
        <w:rPr>
          <w:b w:val="false"/>
          <w:bCs w:val="false"/>
          <w:i w:val="false"/>
          <w:iCs w:val="false"/>
          <w:color w:val="1B1A18"/>
          <w:sz w:val="20"/>
          <w:szCs w:val="20"/>
        </w:rPr>
        <w:t xml:space="preserve">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 and each arrives with its variance the day it signs. Domains differ in vocabulary and constraint.</w:t>
      </w:r>
    </w:p>
    <w:p>
      <w:pPr>
        <w:spacing w:after="70" w:before="160"/>
      </w:pPr>
      <w:r>
        <w:rPr>
          <w:b/>
          <w:bCs/>
          <w:color w:val="57534A"/>
          <w:sz w:val="20"/>
          <w:szCs w:val="20"/>
        </w:rPr>
        <w:t xml:space="preserve">Axiom 4 · Audit primacy</w:t>
      </w:r>
    </w:p>
    <w:p>
      <w:pPr>
        <w:spacing w:after="120" w:before="0" w:line="276"/>
      </w:pPr>
      <w:r>
        <w:rPr>
          <w:b/>
          <w:bCs/>
          <w:i/>
          <w:iCs/>
          <w:color w:val="1B1A18"/>
          <w:sz w:val="20"/>
          <w:szCs w:val="20"/>
        </w:rPr>
        <w:t xml:space="preserve">What cannot be audited cannot be deployed.</w:t>
      </w:r>
    </w:p>
    <w:p>
      <w:pPr>
        <w:spacing w:after="120" w:before="0" w:line="276"/>
      </w:pPr>
      <w:r>
        <w:rPr>
          <w:b w:val="false"/>
          <w:bCs w:val="false"/>
          <w:i w:val="false"/>
          <w:iCs w:val="false"/>
          <w:color w:val="1B1A18"/>
          <w:sz w:val="20"/>
          <w:szCs w:val="20"/>
        </w:rPr>
        <w:t xml:space="preserve">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evidence cannot be retrofitted, because the evidence of a transaction exists only at the transaction. A system designed capability-first and evidence-later has chosen which meeting it will fail.</w:t>
      </w:r>
    </w:p>
    <w:p>
      <w:pPr>
        <w:spacing w:after="70" w:before="160"/>
      </w:pPr>
      <w:r>
        <w:rPr>
          <w:b/>
          <w:bCs/>
          <w:color w:val="57534A"/>
          <w:sz w:val="20"/>
          <w:szCs w:val="20"/>
        </w:rPr>
        <w:t xml:space="preserve">What the axioms do jointly</w:t>
      </w:r>
    </w:p>
    <w:p>
      <w:pPr>
        <w:pStyle w:val="ListParagraph"/>
        <w:numPr>
          <w:ilvl w:val="0"/>
          <w:numId w:val="2"/>
        </w:numPr>
        <w:spacing w:after="70" w:line="276"/>
      </w:pPr>
      <w:r>
        <w:rPr>
          <w:b/>
          <w:bCs/>
          <w:color w:val="1B1A18"/>
          <w:sz w:val="20"/>
          <w:szCs w:val="20"/>
        </w:rPr>
        <w:t xml:space="preserve">Axioms 1 and 2 eliminate the model as the seat of governance. </w:t>
      </w:r>
      <w:r>
        <w:rPr>
          <w:color w:val="1B1A18"/>
          <w:sz w:val="20"/>
          <w:szCs w:val="20"/>
        </w:rPr>
        <w:t xml:space="preserve">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pPr>
        <w:pStyle w:val="ListParagraph"/>
        <w:numPr>
          <w:ilvl w:val="0"/>
          <w:numId w:val="2"/>
        </w:numPr>
        <w:spacing w:after="70" w:line="276"/>
      </w:pPr>
      <w:r>
        <w:rPr>
          <w:b/>
          <w:bCs/>
          <w:color w:val="1B1A18"/>
          <w:sz w:val="20"/>
          <w:szCs w:val="20"/>
        </w:rPr>
        <w:t xml:space="preserve">Axioms 3 and 4 eliminate the code path as the vehicle of change. </w:t>
      </w:r>
      <w:r>
        <w:rPr>
          <w:color w:val="1B1A18"/>
          <w:sz w:val="20"/>
          <w:szCs w:val="20"/>
        </w:rPr>
        <w:t xml:space="preserve">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pPr>
        <w:pStyle w:val="Heading2"/>
        <w:spacing w:after="90" w:before="220"/>
      </w:pPr>
      <w:r>
        <w:rPr>
          <w:b/>
          <w:bCs/>
          <w:color w:val="33302B"/>
          <w:sz w:val="23"/>
          <w:szCs w:val="23"/>
        </w:rPr>
        <w:t xml:space="preserve">A.5 · The evaluation protocol</w:t>
      </w:r>
    </w:p>
    <w:p>
      <w:pPr>
        <w:spacing w:after="120" w:before="0" w:line="276"/>
      </w:pPr>
      <w:r>
        <w:rPr>
          <w:b w:val="false"/>
          <w:bCs w:val="false"/>
          <w:i w:val="false"/>
          <w:iCs w:val="false"/>
          <w:color w:val="1B1A18"/>
          <w:sz w:val="20"/>
          <w:szCs w:val="20"/>
        </w:rPr>
        <w:t xml:space="preserve">Ten items — a single-clause specification and nine questions — runnable against any claimant in a working day. The sequence is deliberate: each failure makes the later questions unnecessary. None requires access to source code, none takes by surprise a vendor who has actually built what the words claim, and none can be answered by a slide.</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500"/>
        <w:gridCol w:w="68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30"/>
      </w:pPr>
    </w:p>
    <w:p>
      <w:pPr>
        <w:spacing w:after="70" w:before="160"/>
      </w:pPr>
      <w:r>
        <w:rPr>
          <w:b/>
          <w:bCs/>
          <w:color w:val="57534A"/>
          <w:sz w:val="20"/>
          <w:szCs w:val="20"/>
        </w:rPr>
        <w:t xml:space="preserve">The four buyer-side traps</w:t>
      </w:r>
    </w:p>
    <w:p>
      <w:pPr>
        <w:pStyle w:val="ListParagraph"/>
        <w:numPr>
          <w:ilvl w:val="0"/>
          <w:numId w:val="2"/>
        </w:numPr>
        <w:spacing w:after="70" w:line="276"/>
      </w:pPr>
      <w:r>
        <w:rPr>
          <w:b/>
          <w:bCs/>
          <w:color w:val="1B1A18"/>
          <w:sz w:val="20"/>
          <w:szCs w:val="20"/>
        </w:rPr>
        <w:t xml:space="preserve">The demo cliff. </w:t>
      </w:r>
      <w:r>
        <w:rPr>
          <w:color w:val="1B1A18"/>
          <w:sz w:val="20"/>
          <w:szCs w:val="20"/>
        </w:rPr>
        <w:t xml:space="preserve">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pPr>
        <w:pStyle w:val="ListParagraph"/>
        <w:numPr>
          <w:ilvl w:val="0"/>
          <w:numId w:val="2"/>
        </w:numPr>
        <w:spacing w:after="70" w:line="276"/>
      </w:pPr>
      <w:r>
        <w:rPr>
          <w:b/>
          <w:bCs/>
          <w:color w:val="1B1A18"/>
          <w:sz w:val="20"/>
          <w:szCs w:val="20"/>
        </w:rPr>
        <w:t xml:space="preserve">The pricing-opacity trap. </w:t>
      </w:r>
      <w:r>
        <w:rPr>
          <w:color w:val="1B1A18"/>
          <w:sz w:val="20"/>
          <w:szCs w:val="20"/>
        </w:rPr>
        <w:t xml:space="preserve">A platform that cannot attribute its costs cannot price transparently, and opacity is an architectural confession. The trap is treating a confusing invoice as a commercial annoyance to negotiate rather than as architectural evidence to weigh.</w:t>
      </w:r>
    </w:p>
    <w:p>
      <w:pPr>
        <w:pStyle w:val="ListParagraph"/>
        <w:numPr>
          <w:ilvl w:val="0"/>
          <w:numId w:val="2"/>
        </w:numPr>
        <w:spacing w:after="70" w:line="276"/>
      </w:pPr>
      <w:r>
        <w:rPr>
          <w:b/>
          <w:bCs/>
          <w:color w:val="1B1A18"/>
          <w:sz w:val="20"/>
          <w:szCs w:val="20"/>
        </w:rPr>
        <w:t xml:space="preserve">The customisation trap. </w:t>
      </w:r>
      <w:r>
        <w:rPr>
          <w:color w:val="1B1A18"/>
          <w:sz w:val="20"/>
          <w:szCs w:val="20"/>
        </w:rPr>
        <w:t xml:space="preserve">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pPr>
        <w:pStyle w:val="ListParagraph"/>
        <w:numPr>
          <w:ilvl w:val="0"/>
          <w:numId w:val="2"/>
        </w:numPr>
        <w:spacing w:after="70" w:line="276"/>
      </w:pPr>
      <w:r>
        <w:rPr>
          <w:b/>
          <w:bCs/>
          <w:color w:val="1B1A18"/>
          <w:sz w:val="20"/>
          <w:szCs w:val="20"/>
        </w:rPr>
        <w:t xml:space="preserve">The compliance-feature trap. </w:t>
      </w:r>
      <w:r>
        <w:rPr>
          <w:color w:val="1B1A18"/>
          <w:sz w:val="20"/>
          <w:szCs w:val="20"/>
        </w:rPr>
        <w:t xml:space="preserve">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pPr>
        <w:pStyle w:val="Heading2"/>
        <w:spacing w:after="90" w:before="220"/>
      </w:pPr>
      <w:r>
        <w:rPr>
          <w:b/>
          <w:bCs/>
          <w:color w:val="33302B"/>
          <w:sz w:val="23"/>
          <w:szCs w:val="23"/>
        </w:rPr>
        <w:t xml:space="preserve">A.6 · The six custody rules, and the rule above them</w:t>
      </w:r>
    </w:p>
    <w:p>
      <w:pPr>
        <w:spacing w:after="120" w:before="0" w:line="276"/>
      </w:pPr>
      <w:r>
        <w:rPr>
          <w:b w:val="false"/>
          <w:bCs w:val="false"/>
          <w:i w:val="false"/>
          <w:iCs w:val="false"/>
          <w:color w:val="1B1A18"/>
          <w:sz w:val="20"/>
          <w:szCs w:val="20"/>
        </w:rPr>
        <w:t xml:space="preserve">Each property yields exactly one rule — the condition under which that property survives movement. They are stated without technology, because they must outlive every technology used to satisfy them.</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100"/>
        <w:gridCol w:w="7980"/>
      </w:tblGrid>
      <w:tr>
        <w:trPr>
          <w:tblHeader/>
        </w:trPr>
        <w:tc>
          <w:tcPr>
            <w:tcW w:type="dxa" w:w="2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Source</w:t>
            </w:r>
          </w:p>
        </w:tc>
        <w:tc>
          <w:tcPr>
            <w:tcW w:type="dxa" w:w="7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Rule</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context</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authority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accountability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coordination</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Alignment is achieved by shared invariants at the seams, never by shared middleware. Whatever merely connects does not coordinate. The layer that holds it must stand at the crossings no application owns — which is why it can only be infrastructure, and neutral.</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execution coherence</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non-negotiables live above the systems and are enforced at every crossing. No component may opt out, and no component’s semantics may win. The floor sits beneath every posture, identical at every door.</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institutional memory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requires ceremony to write and provenance to trust. Memory that anything can write is not memory.</w:t>
            </w:r>
          </w:p>
        </w:tc>
      </w:tr>
    </w:tbl>
    <w:p>
      <w:pPr>
        <w:spacing w:after="13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rule above the rules. </w:t>
            </w:r>
            <w:r>
              <w:rPr>
                <w:i/>
                <w:iCs/>
                <w:color w:val="1B1A18"/>
                <w:sz w:val="20"/>
                <w:szCs w:val="20"/>
              </w:rPr>
              <w:t xml:space="preserve">Every component must be replaceable, and no property ever may be.</w:t>
            </w:r>
          </w:p>
          <w:p>
            <w:pPr>
              <w:spacing w:after="0" w:line="264"/>
            </w:pPr>
            <w:r>
              <w:rPr>
                <w:color w:val="1B1A18"/>
                <w:sz w:val="20"/>
                <w:szCs w:val="20"/>
              </w:rPr>
              <w:t xml:space="preserve">It restates the law and serves as the test for anything claiming to implement it. Whatever fails it — however capable, however integrated, however fluent in this vocabulary — is another application.</w:t>
            </w:r>
          </w:p>
        </w:tc>
      </w:tr>
    </w:tbl>
    <w:p>
      <w:pPr>
        <w:pStyle w:val="Heading1"/>
        <w:spacing w:after="130" w:before="300"/>
      </w:pPr>
      <w:r>
        <w:rPr>
          <w:b/>
          <w:bCs/>
          <w:color w:val="33302B"/>
          <w:sz w:val="29"/>
          <w:szCs w:val="29"/>
        </w:rPr>
        <w:t xml:space="preserve">Part B · Session notes</w:t>
      </w:r>
    </w:p>
    <w:p>
      <w:pPr>
        <w:spacing w:after="140" w:line="276"/>
      </w:pPr>
      <w:r>
        <w:rPr>
          <w:i/>
          <w:iCs/>
          <w:color w:val="6E6A62"/>
          <w:sz w:val="20"/>
          <w:szCs w:val="20"/>
        </w:rPr>
        <w:t xml:space="preserve">Each entry: what is being taught, the sequence that works, the question that does the work, and the errors to expect. Part A references are to this guide, not to the book.</w:t>
      </w:r>
    </w:p>
    <w:p>
      <w:pPr>
        <w:pStyle w:val="Heading2"/>
        <w:spacing w:after="90" w:before="220"/>
      </w:pPr>
      <w:r>
        <w:rPr>
          <w:b/>
          <w:bCs/>
          <w:color w:val="33302B"/>
          <w:sz w:val="23"/>
          <w:szCs w:val="23"/>
        </w:rPr>
        <w:t xml:space="preserve">Session 1 · The board-level problem: what breaks when the carriers leave</w:t>
      </w:r>
    </w:p>
    <w:p>
      <w:pPr>
        <w:spacing w:after="120" w:before="0" w:line="276"/>
      </w:pPr>
      <w:r>
        <w:rPr>
          <w:b w:val="false"/>
          <w:bCs w:val="false"/>
          <w:i w:val="false"/>
          <w:iCs w:val="false"/>
          <w:color w:val="1B1A18"/>
          <w:sz w:val="20"/>
          <w:szCs w:val="20"/>
        </w:rPr>
        <w:t xml:space="preserve">Substance. An enterprise is not its systems, and a layer of people has been holding the joints together invisibly because the work was salaried. Agentic AI withdraws that subsidy without replacing what it carried. For this audience the payload is that the withdrawal is not a decision anyone makes — it is a by-product of each individually sensible automation.</w:t>
      </w:r>
    </w:p>
    <w:p>
      <w:pPr>
        <w:spacing w:after="120" w:before="0" w:line="276"/>
      </w:pPr>
      <w:r>
        <w:rPr>
          <w:b w:val="false"/>
          <w:bCs w:val="false"/>
          <w:i w:val="false"/>
          <w:iCs w:val="false"/>
          <w:color w:val="1B1A18"/>
          <w:sz w:val="20"/>
          <w:szCs w:val="20"/>
        </w:rPr>
        <w:t xml:space="preserve">Sequence. Open on the case, not the framework. Take a transformation that succeeded on every stated measure and unravelled anyway (Phoenix, Part C, works; a firm example from the room works better). Establish that no technical failure of sufficient size exists in the record. Then name the mechanism. Executives accept the thesis fastest when they supply the evidence themselves.</w:t>
      </w:r>
    </w:p>
    <w:p>
      <w:pPr>
        <w:spacing w:after="120" w:before="0" w:line="276"/>
      </w:pPr>
      <w:r>
        <w:rPr>
          <w:b w:val="false"/>
          <w:bCs w:val="false"/>
          <w:i/>
          <w:iCs/>
          <w:color w:val="1B1A18"/>
          <w:sz w:val="20"/>
          <w:szCs w:val="20"/>
        </w:rPr>
        <w:t xml:space="preserve">The question that does the work. Every system worked. Where did the loss come from?</w:t>
      </w:r>
    </w:p>
    <w:p>
      <w:pPr>
        <w:spacing w:after="120" w:before="0" w:line="276"/>
      </w:pPr>
      <w:r>
        <w:rPr>
          <w:b w:val="false"/>
          <w:bCs w:val="false"/>
          <w:i w:val="false"/>
          <w:iCs w:val="false"/>
          <w:color w:val="1B1A18"/>
          <w:sz w:val="20"/>
          <w:szCs w:val="20"/>
        </w:rPr>
        <w:t xml:space="preserve">Errors to expect. The room converts it into a change-management story — insufficient training, poor communications. Concede those are real and note they do not explain an outcome where the systems performed to specification.</w:t>
      </w:r>
    </w:p>
    <w:p>
      <w:pPr>
        <w:spacing w:after="120" w:before="0" w:line="276"/>
      </w:pPr>
      <w:r>
        <w:rPr>
          <w:b w:val="false"/>
          <w:bCs w:val="false"/>
          <w:i w:val="false"/>
          <w:iCs w:val="false"/>
          <w:color w:val="6E6A62"/>
          <w:sz w:val="18"/>
          <w:szCs w:val="18"/>
        </w:rPr>
        <w:t xml:space="preserve">In this guide: A.1  ·  Student reading: Ch. 1–3</w:t>
      </w:r>
    </w:p>
    <w:p>
      <w:pPr>
        <w:pStyle w:val="Heading2"/>
        <w:spacing w:after="90" w:before="220"/>
      </w:pPr>
      <w:r>
        <w:rPr>
          <w:b/>
          <w:bCs/>
          <w:color w:val="33302B"/>
          <w:sz w:val="23"/>
          <w:szCs w:val="23"/>
        </w:rPr>
        <w:t xml:space="preserve">Session 2 · The six properties as governance obligations</w:t>
      </w:r>
    </w:p>
    <w:p>
      <w:pPr>
        <w:spacing w:after="120" w:before="0" w:line="276"/>
      </w:pPr>
      <w:r>
        <w:rPr>
          <w:b w:val="false"/>
          <w:bCs w:val="false"/>
          <w:i w:val="false"/>
          <w:iCs w:val="false"/>
          <w:color w:val="1B1A18"/>
          <w:sz w:val="20"/>
          <w:szCs w:val="20"/>
        </w:rPr>
        <w:t xml:space="preserve">Substance. The six, taught as obligations the institution already carries rather than as a new framework. Context, authority, accountability, coordination, coherence, memory — each with its characteristic failure, which is what a board actually recognises.</w:t>
      </w:r>
    </w:p>
    <w:p>
      <w:pPr>
        <w:spacing w:after="120" w:before="0" w:line="276"/>
      </w:pPr>
      <w:r>
        <w:rPr>
          <w:b w:val="false"/>
          <w:bCs w:val="false"/>
          <w:i w:val="false"/>
          <w:iCs w:val="false"/>
          <w:color w:val="1B1A18"/>
          <w:sz w:val="20"/>
          <w:szCs w:val="20"/>
        </w:rPr>
        <w:t xml:space="preserve">Sequence. Definitions briefly, failures at length. Then the exercise: map the six onto the firm’s own risk register. The finding is reliably the same — five properties are covered somewhere by an existing obligation and authority is not, because mandates are recorded for people. Let the room reach that.</w:t>
      </w:r>
    </w:p>
    <w:p>
      <w:pPr>
        <w:spacing w:after="120" w:before="0" w:line="276"/>
      </w:pPr>
      <w:r>
        <w:rPr>
          <w:b w:val="false"/>
          <w:bCs w:val="false"/>
          <w:i/>
          <w:iCs/>
          <w:color w:val="1B1A18"/>
          <w:sz w:val="20"/>
          <w:szCs w:val="20"/>
        </w:rPr>
        <w:t xml:space="preserve">The question that does the work. Which of these six appears in your risk register, and under what name?</w:t>
      </w:r>
    </w:p>
    <w:p>
      <w:pPr>
        <w:spacing w:after="120" w:before="0" w:line="276"/>
      </w:pPr>
      <w:r>
        <w:rPr>
          <w:b w:val="false"/>
          <w:bCs w:val="false"/>
          <w:i w:val="false"/>
          <w:iCs w:val="false"/>
          <w:color w:val="1B1A18"/>
          <w:sz w:val="20"/>
          <w:szCs w:val="20"/>
        </w:rPr>
        <w:t xml:space="preserve">Errors to expect. Executives receive the six as a maturity model to score. They are conserved quantities: either they survive a boundary or they do not, and a score of three out of five on a never is a breach with a frequency.</w:t>
      </w:r>
    </w:p>
    <w:p>
      <w:pPr>
        <w:spacing w:after="120" w:before="0" w:line="276"/>
      </w:pPr>
      <w:r>
        <w:rPr>
          <w:b w:val="false"/>
          <w:bCs w:val="false"/>
          <w:i w:val="false"/>
          <w:iCs w:val="false"/>
          <w:color w:val="6E6A62"/>
          <w:sz w:val="18"/>
          <w:szCs w:val="18"/>
        </w:rPr>
        <w:t xml:space="preserve">In this guide: A.2, A.3  ·  Student reading: Ch. 4</w:t>
      </w:r>
    </w:p>
    <w:p>
      <w:pPr>
        <w:pStyle w:val="Heading2"/>
        <w:spacing w:after="90" w:before="220"/>
      </w:pPr>
      <w:r>
        <w:rPr>
          <w:b/>
          <w:bCs/>
          <w:color w:val="33302B"/>
          <w:sz w:val="23"/>
          <w:szCs w:val="23"/>
        </w:rPr>
        <w:t xml:space="preserve">Session 3 · Why the model can’t be the control point</w:t>
      </w:r>
    </w:p>
    <w:p>
      <w:pPr>
        <w:spacing w:after="120" w:before="0" w:line="276"/>
      </w:pPr>
      <w:r>
        <w:rPr>
          <w:b w:val="false"/>
          <w:bCs w:val="false"/>
          <w:i w:val="false"/>
          <w:iCs w:val="false"/>
          <w:color w:val="1B1A18"/>
          <w:sz w:val="20"/>
          <w:szCs w:val="20"/>
        </w:rPr>
        <w:t xml:space="preserve">Substance. Axioms 1 and 2 composed: regulatory language is modal, modal claims cannot be satisfied statistically, so for the class of things that must never happen the guarantee cannot live in a probabilistic component. This is the single inference the session exists to install.</w:t>
      </w:r>
    </w:p>
    <w:p>
      <w:pPr>
        <w:spacing w:after="120" w:before="0" w:line="276"/>
      </w:pPr>
      <w:r>
        <w:rPr>
          <w:b w:val="false"/>
          <w:bCs w:val="false"/>
          <w:i w:val="false"/>
          <w:iCs w:val="false"/>
          <w:color w:val="1B1A18"/>
          <w:sz w:val="20"/>
          <w:szCs w:val="20"/>
        </w:rPr>
        <w:t xml:space="preserve">Sequence. Run the debate the syllabus sets — let the model decide — and let it run properly. Then close with the arithmetic rather than the rhetoric: a rule that says never has no compliance rate, so 99.9% is not near-compliance, it is a breach with a measured frequency.</w:t>
      </w:r>
    </w:p>
    <w:p>
      <w:pPr>
        <w:spacing w:after="120" w:before="0" w:line="276"/>
      </w:pPr>
      <w:r>
        <w:rPr>
          <w:b w:val="false"/>
          <w:bCs w:val="false"/>
          <w:i/>
          <w:iCs/>
          <w:color w:val="1B1A18"/>
          <w:sz w:val="20"/>
          <w:szCs w:val="20"/>
        </w:rPr>
        <w:t xml:space="preserve">The question that does the work. What is the compliance rate of a rule that admits no rate?</w:t>
      </w:r>
    </w:p>
    <w:p>
      <w:pPr>
        <w:spacing w:after="120" w:before="0" w:line="276"/>
      </w:pPr>
      <w:r>
        <w:rPr>
          <w:b w:val="false"/>
          <w:bCs w:val="false"/>
          <w:i w:val="false"/>
          <w:iCs w:val="false"/>
          <w:color w:val="1B1A18"/>
          <w:sz w:val="20"/>
          <w:szCs w:val="20"/>
        </w:rPr>
        <w:t xml:space="preserve">Errors to expect. The debate becomes about model quality. Redirect to modality every time. Also expect "we would never rely on the model for that" — the reply is the address test in session 11: then where is it enforced?</w:t>
      </w:r>
    </w:p>
    <w:p>
      <w:pPr>
        <w:spacing w:after="120" w:before="0" w:line="276"/>
      </w:pPr>
      <w:r>
        <w:rPr>
          <w:b w:val="false"/>
          <w:bCs w:val="false"/>
          <w:i w:val="false"/>
          <w:iCs w:val="false"/>
          <w:color w:val="6E6A62"/>
          <w:sz w:val="18"/>
          <w:szCs w:val="18"/>
        </w:rPr>
        <w:t xml:space="preserve">In this guide: A.4  ·  Student reading: Ch. 5, Ch. 9</w:t>
      </w:r>
    </w:p>
    <w:p>
      <w:pPr>
        <w:pStyle w:val="Heading2"/>
        <w:spacing w:after="90" w:before="220"/>
      </w:pPr>
      <w:r>
        <w:rPr>
          <w:b/>
          <w:bCs/>
          <w:color w:val="33302B"/>
          <w:sz w:val="23"/>
          <w:szCs w:val="23"/>
        </w:rPr>
        <w:t xml:space="preserve">Session 4 · Accountability and audit: evidence as a product, not a report</w:t>
      </w:r>
    </w:p>
    <w:p>
      <w:pPr>
        <w:spacing w:after="120" w:before="0" w:line="276"/>
      </w:pPr>
      <w:r>
        <w:rPr>
          <w:b w:val="false"/>
          <w:bCs w:val="false"/>
          <w:i w:val="false"/>
          <w:iCs w:val="false"/>
          <w:color w:val="1B1A18"/>
          <w:sz w:val="20"/>
          <w:szCs w:val="20"/>
        </w:rPr>
        <w:t xml:space="preserve">Substance. Accountability is attribution as a by-product of execution. If it requires investigation, custody has already failed — investigation is the manual reconstruction of what the structure discarded. Audit primacy makes this a gate rather than a preference: evidence cannot be retrofitted, because the evidence of a transaction exists only at the transaction.</w:t>
      </w:r>
    </w:p>
    <w:p>
      <w:pPr>
        <w:spacing w:after="120" w:before="0" w:line="276"/>
      </w:pPr>
      <w:r>
        <w:rPr>
          <w:b w:val="false"/>
          <w:bCs w:val="false"/>
          <w:i w:val="false"/>
          <w:iCs w:val="false"/>
          <w:color w:val="1B1A18"/>
          <w:sz w:val="20"/>
          <w:szCs w:val="20"/>
        </w:rPr>
        <w:t xml:space="preserve">Sequence. Teach the reconstruction failure through Horizon (Part C), carefully. Then the case the syllabus sets — a reconstruction that failed a regulator — and the three questions that separate a record from an account of one. Memo 1 follows.</w:t>
      </w:r>
    </w:p>
    <w:p>
      <w:pPr>
        <w:spacing w:after="120" w:before="0" w:line="276"/>
      </w:pPr>
      <w:r>
        <w:rPr>
          <w:b w:val="false"/>
          <w:bCs w:val="false"/>
          <w:i/>
          <w:iCs/>
          <w:color w:val="1B1A18"/>
          <w:sz w:val="20"/>
          <w:szCs w:val="20"/>
        </w:rPr>
        <w:t xml:space="preserve">The question that does the work. Produce full attribution for one transaction from ninety days ago. Is that a query or a project?</w:t>
      </w:r>
    </w:p>
    <w:p>
      <w:pPr>
        <w:spacing w:after="120" w:before="0" w:line="276"/>
      </w:pPr>
      <w:r>
        <w:rPr>
          <w:b w:val="false"/>
          <w:bCs w:val="false"/>
          <w:i w:val="false"/>
          <w:iCs w:val="false"/>
          <w:color w:val="1B1A18"/>
          <w:sz w:val="20"/>
          <w:szCs w:val="20"/>
        </w:rPr>
        <w:t xml:space="preserve">Errors to expect. Boards equate a comprehensive audit trail with accountability. Per-system trails are usually excellent; the missing elements are who authorised the crossing and which rule version was in force.</w:t>
      </w:r>
    </w:p>
    <w:p>
      <w:pPr>
        <w:spacing w:after="120" w:before="0" w:line="276"/>
      </w:pPr>
      <w:r>
        <w:rPr>
          <w:b w:val="false"/>
          <w:bCs w:val="false"/>
          <w:i w:val="false"/>
          <w:iCs w:val="false"/>
          <w:color w:val="6E6A62"/>
          <w:sz w:val="18"/>
          <w:szCs w:val="18"/>
        </w:rPr>
        <w:t xml:space="preserve">In this guide: A.3.3, A.4  ·  Student reading: Ch. 4; Ch. 18</w:t>
      </w:r>
    </w:p>
    <w:p>
      <w:pPr>
        <w:pStyle w:val="Heading2"/>
        <w:spacing w:after="90" w:before="220"/>
      </w:pPr>
      <w:r>
        <w:rPr>
          <w:b/>
          <w:bCs/>
          <w:color w:val="33302B"/>
          <w:sz w:val="23"/>
          <w:szCs w:val="23"/>
        </w:rPr>
        <w:t xml:space="preserve">Session 5 · Sovereignty as structure: the ability to say no</w:t>
      </w:r>
    </w:p>
    <w:p>
      <w:pPr>
        <w:spacing w:after="120" w:before="0" w:line="276"/>
      </w:pPr>
      <w:r>
        <w:rPr>
          <w:b w:val="false"/>
          <w:bCs w:val="false"/>
          <w:i w:val="false"/>
          <w:iCs w:val="false"/>
          <w:color w:val="1B1A18"/>
          <w:sz w:val="20"/>
          <w:szCs w:val="20"/>
        </w:rPr>
        <w:t xml:space="preserve">Substance. The dependency census — every party whose availability, pricing or policy the enterprise relies on — and the substitution test: the cost of saying no to any single one. Sovereignty is not a procurement posture, it is whether refusal is possible.</w:t>
      </w:r>
    </w:p>
    <w:p>
      <w:pPr>
        <w:spacing w:after="120" w:before="0" w:line="276"/>
      </w:pPr>
      <w:r>
        <w:rPr>
          <w:b w:val="false"/>
          <w:bCs w:val="false"/>
          <w:i w:val="false"/>
          <w:iCs w:val="false"/>
          <w:color w:val="1B1A18"/>
          <w:sz w:val="20"/>
          <w:szCs w:val="20"/>
        </w:rPr>
        <w:t xml:space="preserve">Sequence. Census exercise on a vendor stack the room knows. The entries executives miss are the orchestration layer with no contractual counterparty and policy dependency, where a provider changes what the firm is permitted to do with no outage and no price change.</w:t>
      </w:r>
    </w:p>
    <w:p>
      <w:pPr>
        <w:spacing w:after="120" w:before="0" w:line="276"/>
      </w:pPr>
      <w:r>
        <w:rPr>
          <w:b w:val="false"/>
          <w:bCs w:val="false"/>
          <w:i/>
          <w:iCs/>
          <w:color w:val="1B1A18"/>
          <w:sz w:val="20"/>
          <w:szCs w:val="20"/>
        </w:rPr>
        <w:t xml:space="preserve">The question that does the work. Who can say no to you, and what would it cost you to say no to them?</w:t>
      </w:r>
    </w:p>
    <w:p>
      <w:pPr>
        <w:spacing w:after="120" w:before="0" w:line="276"/>
      </w:pPr>
      <w:r>
        <w:rPr>
          <w:b w:val="false"/>
          <w:bCs w:val="false"/>
          <w:i w:val="false"/>
          <w:iCs w:val="false"/>
          <w:color w:val="1B1A18"/>
          <w:sz w:val="20"/>
          <w:szCs w:val="20"/>
        </w:rPr>
        <w:t xml:space="preserve">Errors to expect. Listing contracted suppliers only, and treating contractual protection as substitutability. A dependency that cannot be replaced is not controlled, whatever the contract says.</w:t>
      </w:r>
    </w:p>
    <w:p>
      <w:pPr>
        <w:spacing w:after="120" w:before="0" w:line="276"/>
      </w:pPr>
      <w:r>
        <w:rPr>
          <w:b w:val="false"/>
          <w:bCs w:val="false"/>
          <w:i w:val="false"/>
          <w:iCs w:val="false"/>
          <w:color w:val="6E6A62"/>
          <w:sz w:val="18"/>
          <w:szCs w:val="18"/>
        </w:rPr>
        <w:t xml:space="preserve">In this guide: A.5  ·  Student reading: Ch. 17</w:t>
      </w:r>
    </w:p>
    <w:p>
      <w:pPr>
        <w:pStyle w:val="Heading2"/>
        <w:spacing w:after="90" w:before="220"/>
      </w:pPr>
      <w:r>
        <w:rPr>
          <w:b/>
          <w:bCs/>
          <w:color w:val="33302B"/>
          <w:sz w:val="23"/>
          <w:szCs w:val="23"/>
        </w:rPr>
        <w:t xml:space="preserve">Session 6 · Isolation, tenancy, and the boundaries of trust</w:t>
      </w:r>
    </w:p>
    <w:p>
      <w:pPr>
        <w:spacing w:after="120" w:before="0" w:line="276"/>
      </w:pPr>
      <w:r>
        <w:rPr>
          <w:b w:val="false"/>
          <w:bCs w:val="false"/>
          <w:i w:val="false"/>
          <w:iCs w:val="false"/>
          <w:color w:val="1B1A18"/>
          <w:sz w:val="20"/>
          <w:szCs w:val="20"/>
        </w:rPr>
        <w:t xml:space="preserve">Substance. The expressibility test: isolation that depends on a statement not being written is a policy, and isolation where the statement cannot be written is a construction. Plus provenance at the seams — what a fragment’s class is permitted to influence.</w:t>
      </w:r>
    </w:p>
    <w:p>
      <w:pPr>
        <w:spacing w:after="120" w:before="0" w:line="276"/>
      </w:pPr>
      <w:r>
        <w:rPr>
          <w:b w:val="false"/>
          <w:bCs w:val="false"/>
          <w:i w:val="false"/>
          <w:iCs w:val="false"/>
          <w:color w:val="1B1A18"/>
          <w:sz w:val="20"/>
          <w:szCs w:val="20"/>
        </w:rPr>
        <w:t xml:space="preserve">Sequence. Case: a cross-tenant leak and its board fallout. Then the test, put in board language — ask the CTO to have an engineer write the statement that would cross the boundary, and report back whether it could be written.</w:t>
      </w:r>
    </w:p>
    <w:p>
      <w:pPr>
        <w:spacing w:after="120" w:before="0" w:line="276"/>
      </w:pPr>
      <w:r>
        <w:rPr>
          <w:b w:val="false"/>
          <w:bCs w:val="false"/>
          <w:i/>
          <w:iCs/>
          <w:color w:val="1B1A18"/>
          <w:sz w:val="20"/>
          <w:szCs w:val="20"/>
        </w:rPr>
        <w:t xml:space="preserve">The question that does the work. Is our isolation a rule someone follows or something that cannot be expressed?</w:t>
      </w:r>
    </w:p>
    <w:p>
      <w:pPr>
        <w:spacing w:after="120" w:before="0" w:line="276"/>
      </w:pPr>
      <w:r>
        <w:rPr>
          <w:b w:val="false"/>
          <w:bCs w:val="false"/>
          <w:i w:val="false"/>
          <w:iCs w:val="false"/>
          <w:color w:val="1B1A18"/>
          <w:sz w:val="20"/>
          <w:szCs w:val="20"/>
        </w:rPr>
        <w:t xml:space="preserve">Errors to expect. Accepting certification as evidence of isolation. Certifications describe controls; the test asks about construction.</w:t>
      </w:r>
    </w:p>
    <w:p>
      <w:pPr>
        <w:spacing w:after="120" w:before="0" w:line="276"/>
      </w:pPr>
      <w:r>
        <w:rPr>
          <w:b w:val="false"/>
          <w:bCs w:val="false"/>
          <w:i w:val="false"/>
          <w:iCs w:val="false"/>
          <w:color w:val="6E6A62"/>
          <w:sz w:val="18"/>
          <w:szCs w:val="18"/>
        </w:rPr>
        <w:t xml:space="preserve">In this guide: A.5  ·  Student reading: Ch. 16; Ch. 10</w:t>
      </w:r>
    </w:p>
    <w:p>
      <w:pPr>
        <w:pStyle w:val="Heading2"/>
        <w:spacing w:after="90" w:before="220"/>
      </w:pPr>
      <w:r>
        <w:rPr>
          <w:b/>
          <w:bCs/>
          <w:color w:val="33302B"/>
          <w:sz w:val="23"/>
          <w:szCs w:val="23"/>
        </w:rPr>
        <w:t xml:space="preserve">Session 7 · Governance that survives volume</w:t>
      </w:r>
    </w:p>
    <w:p>
      <w:pPr>
        <w:spacing w:after="120" w:before="0" w:line="276"/>
      </w:pPr>
      <w:r>
        <w:rPr>
          <w:b w:val="false"/>
          <w:bCs w:val="false"/>
          <w:i w:val="false"/>
          <w:iCs w:val="false"/>
          <w:color w:val="1B1A18"/>
          <w:sz w:val="20"/>
          <w:szCs w:val="20"/>
        </w:rPr>
        <w:t xml:space="preserve">Substance. Human review degrades into approval at volume, and the mechanism has nothing to do with reviewer competence: a person facing thousands of items cannot evaluate each, refusing carries a cost and approving does not, and the audit trail records oversight accurately throughout. The exposure is that the institution has represented a control that cannot function.</w:t>
      </w:r>
    </w:p>
    <w:p>
      <w:pPr>
        <w:spacing w:after="120" w:before="0" w:line="276"/>
      </w:pPr>
      <w:r>
        <w:rPr>
          <w:b w:val="false"/>
          <w:bCs w:val="false"/>
          <w:i w:val="false"/>
          <w:iCs w:val="false"/>
          <w:color w:val="1B1A18"/>
          <w:sz w:val="20"/>
          <w:szCs w:val="20"/>
        </w:rPr>
        <w:t xml:space="preserve">Sequence. Guest regulator or auditor if available. Otherwise put the arithmetic on the board — items per month against minutes per item — and let the room compute what review actually is. Close on the three honest responses: reduce volume, move enforcement into structure and supervise the structure, or accept the residual risk explicitly with reasoning recorded.</w:t>
      </w:r>
    </w:p>
    <w:p>
      <w:pPr>
        <w:spacing w:after="120" w:before="0" w:line="276"/>
      </w:pPr>
      <w:r>
        <w:rPr>
          <w:b w:val="false"/>
          <w:bCs w:val="false"/>
          <w:i/>
          <w:iCs/>
          <w:color w:val="1B1A18"/>
          <w:sz w:val="20"/>
          <w:szCs w:val="20"/>
        </w:rPr>
        <w:t xml:space="preserve">The question that does the work. How many items a month, and how many minutes each? Now what is this control?</w:t>
      </w:r>
    </w:p>
    <w:p>
      <w:pPr>
        <w:spacing w:after="120" w:before="0" w:line="276"/>
      </w:pPr>
      <w:r>
        <w:rPr>
          <w:b w:val="false"/>
          <w:bCs w:val="false"/>
          <w:i w:val="false"/>
          <w:iCs w:val="false"/>
          <w:color w:val="1B1A18"/>
          <w:sz w:val="20"/>
          <w:szCs w:val="20"/>
        </w:rPr>
        <w:t xml:space="preserve">Errors to expect. The room treats the fourth option — leaving the fiction in the control library — as prudence. Name it as the option an examiner or an incident will find.</w:t>
      </w:r>
    </w:p>
    <w:p>
      <w:pPr>
        <w:spacing w:after="120" w:before="0" w:line="276"/>
      </w:pPr>
      <w:r>
        <w:rPr>
          <w:b w:val="false"/>
          <w:bCs w:val="false"/>
          <w:i w:val="false"/>
          <w:iCs w:val="false"/>
          <w:color w:val="6E6A62"/>
          <w:sz w:val="18"/>
          <w:szCs w:val="18"/>
        </w:rPr>
        <w:t xml:space="preserve">In this guide: A.4  ·  Student reading: Ch. 18</w:t>
      </w:r>
    </w:p>
    <w:p>
      <w:pPr>
        <w:pStyle w:val="Heading2"/>
        <w:spacing w:after="90" w:before="220"/>
      </w:pPr>
      <w:r>
        <w:rPr>
          <w:b/>
          <w:bCs/>
          <w:color w:val="33302B"/>
          <w:sz w:val="23"/>
          <w:szCs w:val="23"/>
        </w:rPr>
        <w:t xml:space="preserve">Session 8 · The economics: the meter and the ledger</w:t>
      </w:r>
    </w:p>
    <w:p>
      <w:pPr>
        <w:spacing w:after="120" w:before="0" w:line="276"/>
      </w:pPr>
      <w:r>
        <w:rPr>
          <w:b w:val="false"/>
          <w:bCs w:val="false"/>
          <w:i w:val="false"/>
          <w:iCs w:val="false"/>
          <w:color w:val="1B1A18"/>
          <w:sz w:val="20"/>
          <w:szCs w:val="20"/>
        </w:rPr>
        <w:t xml:space="preserve">Substance. A platform that cannot attribute its costs cannot price transparently, and opacity is an architectural confession. And the inference boards care about most: the absent record that hides cost per action also hides exposure per action.</w:t>
      </w:r>
    </w:p>
    <w:p>
      <w:pPr>
        <w:spacing w:after="120" w:before="0" w:line="276"/>
      </w:pPr>
      <w:r>
        <w:rPr>
          <w:b w:val="false"/>
          <w:bCs w:val="false"/>
          <w:i w:val="false"/>
          <w:iCs w:val="false"/>
          <w:color w:val="1B1A18"/>
          <w:sz w:val="20"/>
          <w:szCs w:val="20"/>
        </w:rPr>
        <w:t xml:space="preserve">Sequence. Two-invoices test on a real bill. Then the pricing-opacity trap (A.5): an evaluator who cannot get a per-tenant, per-agent cost model has learned more about a vendor’s internals than any architecture diagram would tell them.</w:t>
      </w:r>
    </w:p>
    <w:p>
      <w:pPr>
        <w:spacing w:after="120" w:before="0" w:line="276"/>
      </w:pPr>
      <w:r>
        <w:rPr>
          <w:b w:val="false"/>
          <w:bCs w:val="false"/>
          <w:i/>
          <w:iCs/>
          <w:color w:val="1B1A18"/>
          <w:sz w:val="20"/>
          <w:szCs w:val="20"/>
        </w:rPr>
        <w:t xml:space="preserve">The question that does the work. What does one action cost, and can you show me for last month?</w:t>
      </w:r>
    </w:p>
    <w:p>
      <w:pPr>
        <w:spacing w:after="120" w:before="0" w:line="276"/>
      </w:pPr>
      <w:r>
        <w:rPr>
          <w:b w:val="false"/>
          <w:bCs w:val="false"/>
          <w:i w:val="false"/>
          <w:iCs w:val="false"/>
          <w:color w:val="1B1A18"/>
          <w:sz w:val="20"/>
          <w:szCs w:val="20"/>
        </w:rPr>
        <w:t xml:space="preserve">Errors to expect. Treating an opaque invoice as a negotiation problem. It is evidence about the architecture and should be weighed as such.</w:t>
      </w:r>
    </w:p>
    <w:p>
      <w:pPr>
        <w:spacing w:after="120" w:before="0" w:line="276"/>
      </w:pPr>
      <w:r>
        <w:rPr>
          <w:b w:val="false"/>
          <w:bCs w:val="false"/>
          <w:i w:val="false"/>
          <w:iCs w:val="false"/>
          <w:color w:val="6E6A62"/>
          <w:sz w:val="18"/>
          <w:szCs w:val="18"/>
        </w:rPr>
        <w:t xml:space="preserve">In this guide: A.5  ·  Student reading: Ch. 19</w:t>
      </w:r>
    </w:p>
    <w:p>
      <w:pPr>
        <w:pStyle w:val="Heading2"/>
        <w:spacing w:after="90" w:before="220"/>
      </w:pPr>
      <w:r>
        <w:rPr>
          <w:b/>
          <w:bCs/>
          <w:color w:val="33302B"/>
          <w:sz w:val="23"/>
          <w:szCs w:val="23"/>
        </w:rPr>
        <w:t xml:space="preserve">Session 9 · Infrastructure decisions boards actually make</w:t>
      </w:r>
    </w:p>
    <w:p>
      <w:pPr>
        <w:spacing w:after="120" w:before="0" w:line="276"/>
      </w:pPr>
      <w:r>
        <w:rPr>
          <w:b w:val="false"/>
          <w:bCs w:val="false"/>
          <w:i w:val="false"/>
          <w:iCs w:val="false"/>
          <w:color w:val="1B1A18"/>
          <w:sz w:val="20"/>
          <w:szCs w:val="20"/>
        </w:rPr>
        <w:t xml:space="preserve">Substance. Why the layer holding invariants must be neutral: the referee question — does the party holding the invariants have a stake among the parties being coordinated? Build-versus-buy is the wrong axis; the axis is where the invariants live and who owns them.</w:t>
      </w:r>
    </w:p>
    <w:p>
      <w:pPr>
        <w:spacing w:after="120" w:before="0" w:line="276"/>
      </w:pPr>
      <w:r>
        <w:rPr>
          <w:b w:val="false"/>
          <w:bCs w:val="false"/>
          <w:i w:val="false"/>
          <w:iCs w:val="false"/>
          <w:color w:val="1B1A18"/>
          <w:sz w:val="20"/>
          <w:szCs w:val="20"/>
        </w:rPr>
        <w:t xml:space="preserve">Sequence. Build-versus-buy discussion, then redirect it. Both options can satisfy the properties and both can fail them; the question the board should minute is which invariants the firm will own regardless of supplier.</w:t>
      </w:r>
    </w:p>
    <w:p>
      <w:pPr>
        <w:spacing w:after="120" w:before="0" w:line="276"/>
      </w:pPr>
      <w:r>
        <w:rPr>
          <w:b w:val="false"/>
          <w:bCs w:val="false"/>
          <w:i/>
          <w:iCs/>
          <w:color w:val="1B1A18"/>
          <w:sz w:val="20"/>
          <w:szCs w:val="20"/>
        </w:rPr>
        <w:t xml:space="preserve">The question that does the work. Which invariants will we still own after we change this supplier?</w:t>
      </w:r>
    </w:p>
    <w:p>
      <w:pPr>
        <w:spacing w:after="120" w:before="0" w:line="276"/>
      </w:pPr>
      <w:r>
        <w:rPr>
          <w:b w:val="false"/>
          <w:bCs w:val="false"/>
          <w:i w:val="false"/>
          <w:iCs w:val="false"/>
          <w:color w:val="1B1A18"/>
          <w:sz w:val="20"/>
          <w:szCs w:val="20"/>
        </w:rPr>
        <w:t xml:space="preserve">Errors to expect. The discussion collapses into cost and speed. Keep returning to ownership of invariants, which is the only part of the decision that is irreversible.</w:t>
      </w:r>
    </w:p>
    <w:p>
      <w:pPr>
        <w:spacing w:after="120" w:before="0" w:line="276"/>
      </w:pPr>
      <w:r>
        <w:rPr>
          <w:b w:val="false"/>
          <w:bCs w:val="false"/>
          <w:i w:val="false"/>
          <w:iCs w:val="false"/>
          <w:color w:val="6E6A62"/>
          <w:sz w:val="18"/>
          <w:szCs w:val="18"/>
        </w:rPr>
        <w:t xml:space="preserve">In this guide: A.5, A.6  ·  Student reading: Ch. 20</w:t>
      </w:r>
    </w:p>
    <w:p>
      <w:pPr>
        <w:pStyle w:val="Heading2"/>
        <w:spacing w:after="90" w:before="220"/>
      </w:pPr>
      <w:r>
        <w:rPr>
          <w:b/>
          <w:bCs/>
          <w:color w:val="33302B"/>
          <w:sz w:val="23"/>
          <w:szCs w:val="23"/>
        </w:rPr>
        <w:t xml:space="preserve">Session 10 · Change without calcification: preservation is not stasis</w:t>
      </w:r>
    </w:p>
    <w:p>
      <w:pPr>
        <w:spacing w:after="120" w:before="0" w:line="276"/>
      </w:pPr>
      <w:r>
        <w:rPr>
          <w:b w:val="false"/>
          <w:bCs w:val="false"/>
          <w:i w:val="false"/>
          <w:iCs w:val="false"/>
          <w:color w:val="1B1A18"/>
          <w:sz w:val="20"/>
          <w:szCs w:val="20"/>
        </w:rPr>
        <w:t xml:space="preserve">Substance. Custody is not freezing. A structure that cannot change is not carrying properties, it is preventing work — and the governance that ossifies into paralysis fails the enterprise as surely as the governance that carries nothing.</w:t>
      </w:r>
    </w:p>
    <w:p>
      <w:pPr>
        <w:spacing w:after="120" w:before="0" w:line="276"/>
      </w:pPr>
      <w:r>
        <w:rPr>
          <w:b w:val="false"/>
          <w:bCs w:val="false"/>
          <w:i w:val="false"/>
          <w:iCs w:val="false"/>
          <w:color w:val="1B1A18"/>
          <w:sz w:val="20"/>
          <w:szCs w:val="20"/>
        </w:rPr>
        <w:t xml:space="preserve">Sequence. Case: governance that ossified. The productive board conversation is about which changes should be rows and which should be releases, and who is permitted to decide that.</w:t>
      </w:r>
    </w:p>
    <w:p>
      <w:pPr>
        <w:spacing w:after="120" w:before="0" w:line="276"/>
      </w:pPr>
      <w:r>
        <w:rPr>
          <w:b w:val="false"/>
          <w:bCs w:val="false"/>
          <w:i/>
          <w:iCs/>
          <w:color w:val="1B1A18"/>
          <w:sz w:val="20"/>
          <w:szCs w:val="20"/>
        </w:rPr>
        <w:t xml:space="preserve">The question that does the work. Is this change a row or a release — and who decides which?</w:t>
      </w:r>
    </w:p>
    <w:p>
      <w:pPr>
        <w:spacing w:after="120" w:before="0" w:line="276"/>
      </w:pPr>
      <w:r>
        <w:rPr>
          <w:b w:val="false"/>
          <w:bCs w:val="false"/>
          <w:i w:val="false"/>
          <w:iCs w:val="false"/>
          <w:color w:val="1B1A18"/>
          <w:sz w:val="20"/>
          <w:szCs w:val="20"/>
        </w:rPr>
        <w:t xml:space="preserve">Errors to expect. Executives who have absorbed sessions 1–9 arrive here over-corrected, wanting everything gated. Use the session to restore proportion.</w:t>
      </w:r>
    </w:p>
    <w:p>
      <w:pPr>
        <w:spacing w:after="120" w:before="0" w:line="276"/>
      </w:pPr>
      <w:r>
        <w:rPr>
          <w:b w:val="false"/>
          <w:bCs w:val="false"/>
          <w:i w:val="false"/>
          <w:iCs w:val="false"/>
          <w:color w:val="6E6A62"/>
          <w:sz w:val="18"/>
          <w:szCs w:val="18"/>
        </w:rPr>
        <w:t xml:space="preserve">In this guide: A.1, A.5  ·  Student reading: Ch. 21</w:t>
      </w:r>
    </w:p>
    <w:p>
      <w:pPr>
        <w:pStyle w:val="Heading2"/>
        <w:spacing w:after="90" w:before="220"/>
      </w:pPr>
      <w:r>
        <w:rPr>
          <w:b/>
          <w:bCs/>
          <w:color w:val="33302B"/>
          <w:sz w:val="23"/>
          <w:szCs w:val="23"/>
        </w:rPr>
        <w:t xml:space="preserve">Session 11 · Nine questions to put to any vendor</w:t>
      </w:r>
    </w:p>
    <w:p>
      <w:pPr>
        <w:spacing w:after="120" w:before="0" w:line="276"/>
      </w:pPr>
      <w:r>
        <w:rPr>
          <w:b w:val="false"/>
          <w:bCs w:val="false"/>
          <w:i w:val="false"/>
          <w:iCs w:val="false"/>
          <w:color w:val="1B1A18"/>
          <w:sz w:val="20"/>
          <w:szCs w:val="20"/>
        </w:rPr>
        <w:t xml:space="preserve">Substance. The protocol, and the four traps. The single-clause specification is the session: show the crossing, and show what survives it. Everything else is that question factored, and none of it requires source code.</w:t>
      </w:r>
    </w:p>
    <w:p>
      <w:pPr>
        <w:spacing w:after="120" w:before="0" w:line="276"/>
      </w:pPr>
      <w:r>
        <w:rPr>
          <w:b w:val="false"/>
          <w:bCs w:val="false"/>
          <w:i w:val="false"/>
          <w:iCs w:val="false"/>
          <w:color w:val="1B1A18"/>
          <w:sz w:val="20"/>
          <w:szCs w:val="20"/>
        </w:rPr>
        <w:t xml:space="preserve">Sequence. Live protocol run against a sample vendor pitch — ideally a real deck with the name removed. Assign tests to teams. The demo cliff (A.5) is worth naming explicitly: the second meeting’s questions are cheap to ask in the first meeting.</w:t>
      </w:r>
    </w:p>
    <w:p>
      <w:pPr>
        <w:spacing w:after="120" w:before="0" w:line="276"/>
      </w:pPr>
      <w:r>
        <w:rPr>
          <w:b w:val="false"/>
          <w:bCs w:val="false"/>
          <w:i/>
          <w:iCs/>
          <w:color w:val="1B1A18"/>
          <w:sz w:val="20"/>
          <w:szCs w:val="20"/>
        </w:rPr>
        <w:t xml:space="preserve">The question that does the work. Show me the crossing, and show me what survives it.</w:t>
      </w:r>
    </w:p>
    <w:p>
      <w:pPr>
        <w:spacing w:after="120" w:before="0" w:line="276"/>
      </w:pPr>
      <w:r>
        <w:rPr>
          <w:b w:val="false"/>
          <w:bCs w:val="false"/>
          <w:i w:val="false"/>
          <w:iCs w:val="false"/>
          <w:color w:val="1B1A18"/>
          <w:sz w:val="20"/>
          <w:szCs w:val="20"/>
        </w:rPr>
        <w:t xml:space="preserve">Errors to expect. Executives soften the questions to preserve the relationship. Note that a vendor who has built what the words claim is not surprised by any of the nine.</w:t>
      </w:r>
    </w:p>
    <w:p>
      <w:pPr>
        <w:spacing w:after="120" w:before="0" w:line="276"/>
      </w:pPr>
      <w:r>
        <w:rPr>
          <w:b w:val="false"/>
          <w:bCs w:val="false"/>
          <w:i w:val="false"/>
          <w:iCs w:val="false"/>
          <w:color w:val="6E6A62"/>
          <w:sz w:val="18"/>
          <w:szCs w:val="18"/>
        </w:rPr>
        <w:t xml:space="preserve">In this guide: A.5  ·  Student reading: Ch. 22</w:t>
      </w:r>
    </w:p>
    <w:p>
      <w:pPr>
        <w:pStyle w:val="Heading2"/>
        <w:spacing w:after="90" w:before="220"/>
      </w:pPr>
      <w:r>
        <w:rPr>
          <w:b/>
          <w:bCs/>
          <w:color w:val="33302B"/>
          <w:sz w:val="23"/>
          <w:szCs w:val="23"/>
        </w:rPr>
        <w:t xml:space="preserve">Session 12 · The custody rules and the board playbook</w:t>
      </w:r>
    </w:p>
    <w:p>
      <w:pPr>
        <w:spacing w:after="120" w:before="0" w:line="276"/>
      </w:pPr>
      <w:r>
        <w:rPr>
          <w:b w:val="false"/>
          <w:bCs w:val="false"/>
          <w:i w:val="false"/>
          <w:iCs w:val="false"/>
          <w:color w:val="1B1A18"/>
          <w:sz w:val="20"/>
          <w:szCs w:val="20"/>
        </w:rPr>
        <w:t xml:space="preserve">Substance. The six rules, and the rule above them: every component must be replaceable, and no property ever may be. It restates the law and serves as the test for anything claiming to implement it.</w:t>
      </w:r>
    </w:p>
    <w:p>
      <w:pPr>
        <w:spacing w:after="120" w:before="0" w:line="276"/>
      </w:pPr>
      <w:r>
        <w:rPr>
          <w:b w:val="false"/>
          <w:bCs w:val="false"/>
          <w:i w:val="false"/>
          <w:iCs w:val="false"/>
          <w:color w:val="1B1A18"/>
          <w:sz w:val="20"/>
          <w:szCs w:val="20"/>
        </w:rPr>
        <w:t xml:space="preserve">Sequence. Team board-briefing presentations. Mark on whether the briefing would survive contact with a real board — no vocabulary from this course unless defined, every claim tied to a demonstration.</w:t>
      </w:r>
    </w:p>
    <w:p>
      <w:pPr>
        <w:spacing w:after="120" w:before="0" w:line="276"/>
      </w:pPr>
      <w:r>
        <w:rPr>
          <w:b w:val="false"/>
          <w:bCs w:val="false"/>
          <w:i/>
          <w:iCs/>
          <w:color w:val="1B1A18"/>
          <w:sz w:val="20"/>
          <w:szCs w:val="20"/>
        </w:rPr>
        <w:t xml:space="preserve">The question that does the work. Name a property that has survived the replacement of a component beneath it.</w:t>
      </w:r>
    </w:p>
    <w:p>
      <w:pPr>
        <w:spacing w:after="120" w:before="0" w:line="276"/>
      </w:pPr>
      <w:r>
        <w:rPr>
          <w:b w:val="false"/>
          <w:bCs w:val="false"/>
          <w:i w:val="false"/>
          <w:iCs w:val="false"/>
          <w:color w:val="1B1A18"/>
          <w:sz w:val="20"/>
          <w:szCs w:val="20"/>
        </w:rPr>
        <w:t xml:space="preserve">Errors to expect. Briefings written in the course’s vocabulary. A board that has not taken this course will not read it, and translation is the deliverable.</w:t>
      </w:r>
    </w:p>
    <w:p>
      <w:pPr>
        <w:spacing w:after="120" w:before="0" w:line="276"/>
      </w:pPr>
      <w:r>
        <w:rPr>
          <w:b w:val="false"/>
          <w:bCs w:val="false"/>
          <w:i w:val="false"/>
          <w:iCs w:val="false"/>
          <w:color w:val="6E6A62"/>
          <w:sz w:val="18"/>
          <w:szCs w:val="18"/>
        </w:rPr>
        <w:t xml:space="preserve">In this guide: A.6  ·  Student reading: Ch. 23</w:t>
      </w:r>
    </w:p>
    <w:p>
      <w:pPr>
        <w:pStyle w:val="Heading1"/>
        <w:spacing w:after="130" w:before="300"/>
      </w:pPr>
      <w:r>
        <w:rPr>
          <w:b/>
          <w:bCs/>
          <w:color w:val="33302B"/>
          <w:sz w:val="29"/>
          <w:szCs w:val="29"/>
        </w:rPr>
        <w:t xml:space="preserve">Part C · The cases, with facts</w:t>
      </w:r>
    </w:p>
    <w:p>
      <w:pPr>
        <w:spacing w:after="140" w:line="276"/>
      </w:pPr>
      <w:r>
        <w:rPr>
          <w:i/>
          <w:iCs/>
          <w:color w:val="6E6A62"/>
          <w:sz w:val="20"/>
          <w:szCs w:val="20"/>
        </w:rPr>
        <w:t xml:space="preserve">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pPr>
        <w:spacing w:after="70" w:before="160"/>
      </w:pPr>
      <w:r>
        <w:rPr>
          <w:b/>
          <w:bCs/>
          <w:color w:val="57534A"/>
          <w:sz w:val="20"/>
          <w:szCs w:val="20"/>
        </w:rPr>
        <w:t xml:space="preserve">The four hundred</w:t>
      </w:r>
    </w:p>
    <w:p>
      <w:pPr>
        <w:spacing w:after="90" w:before="0" w:line="276"/>
      </w:pPr>
      <w:r>
        <w:rPr>
          <w:b w:val="false"/>
          <w:bCs w:val="false"/>
          <w:i/>
          <w:iCs/>
          <w:color w:val="6E6A62"/>
          <w:sz w:val="20"/>
          <w:szCs w:val="20"/>
        </w:rPr>
        <w:t xml:space="preserve">Source: The book’s running example, and the fastest way to make the whole argument.</w:t>
      </w:r>
    </w:p>
    <w:p>
      <w:pPr>
        <w:spacing w:after="120" w:before="0" w:line="276"/>
      </w:pPr>
      <w:r>
        <w:rPr>
          <w:b w:val="false"/>
          <w:bCs w:val="false"/>
          <w:i w:val="false"/>
          <w:iCs w:val="false"/>
          <w:color w:val="1B1A18"/>
          <w:sz w:val="20"/>
          <w:szCs w:val="20"/>
        </w:rPr>
        <w:t xml:space="preserve">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 specified to carry it. An order is placed above the cap. Nothing malfunctioned, every value was accurate, and the obligation was satisfied nowhere — because it had been assigned to nothing.</w:t>
      </w:r>
    </w:p>
    <w:p>
      <w:pPr>
        <w:spacing w:after="70" w:before="160"/>
      </w:pPr>
      <w:r>
        <w:rPr>
          <w:b/>
          <w:bCs/>
          <w:color w:val="57534A"/>
          <w:sz w:val="20"/>
          <w:szCs w:val="20"/>
        </w:rPr>
        <w:t xml:space="preserve">Phoenix pay system</w:t>
      </w:r>
    </w:p>
    <w:p>
      <w:pPr>
        <w:spacing w:after="90" w:before="0" w:line="276"/>
      </w:pPr>
      <w:r>
        <w:rPr>
          <w:b w:val="false"/>
          <w:bCs w:val="false"/>
          <w:i/>
          <w:iCs/>
          <w:color w:val="6E6A62"/>
          <w:sz w:val="20"/>
          <w:szCs w:val="20"/>
        </w:rPr>
        <w:t xml:space="preserve">Source: Office of the Auditor General of Canada reports; parliamentary committee reporting.</w:t>
      </w:r>
    </w:p>
    <w:p>
      <w:pPr>
        <w:spacing w:after="120" w:before="0" w:line="276"/>
      </w:pPr>
      <w:r>
        <w:rPr>
          <w:b w:val="false"/>
          <w:bCs w:val="false"/>
          <w:i w:val="false"/>
          <w:iCs w:val="false"/>
          <w:color w:val="1B1A18"/>
          <w:sz w:val="20"/>
          <w:szCs w:val="20"/>
        </w:rPr>
        <w:t xml:space="preserve">A national payroll consolidation centralised pay administration and introduced a new system. The pay advisers who held the interpretive knowledge of collective agreements, acting arrangements and entitlement edge cases were removed from the process. Hundreds of thousands of pay errors followed, remediation ran for years, and cost far exceeded the savings the programme was built to deliver. What is absent from the record is any technical failure large enough to explain the outcome. The tasks moved; the carriers of meaning did not, and no system had been asked to hold what they held because nobody had noticed they were holding it.</w:t>
      </w:r>
    </w:p>
    <w:p>
      <w:pPr>
        <w:spacing w:after="70" w:before="160"/>
      </w:pPr>
      <w:r>
        <w:rPr>
          <w:b/>
          <w:bCs/>
          <w:color w:val="57534A"/>
          <w:sz w:val="20"/>
          <w:szCs w:val="20"/>
        </w:rPr>
        <w:t xml:space="preserve">Knight Capital</w:t>
      </w:r>
    </w:p>
    <w:p>
      <w:pPr>
        <w:spacing w:after="90" w:before="0" w:line="276"/>
      </w:pPr>
      <w:r>
        <w:rPr>
          <w:b w:val="false"/>
          <w:bCs w:val="false"/>
          <w:i/>
          <w:iCs/>
          <w:color w:val="6E6A62"/>
          <w:sz w:val="20"/>
          <w:szCs w:val="20"/>
        </w:rPr>
        <w:t xml:space="preserve">Source: US Securities and Exchange Commission administrative proceeding, 2013.</w:t>
      </w:r>
    </w:p>
    <w:p>
      <w:pPr>
        <w:spacing w:after="120" w:before="0" w:line="276"/>
      </w:pPr>
      <w:r>
        <w:rPr>
          <w:b w:val="false"/>
          <w:bCs w:val="false"/>
          <w:i w:val="false"/>
          <w:iCs w:val="false"/>
          <w:color w:val="1B1A18"/>
          <w:sz w:val="20"/>
          <w:szCs w:val="20"/>
        </w:rPr>
        <w:t xml:space="preserve">In August 2012 a deployment left obsolete code active on one of eight servers. Order routing behaved exactly as written; the firm lost approximately 460 million dollars in roughly forty-five minutes and did not survive as an independent company. The proceeding addressed the absence of adequate controls and supervisory procedures around market access rather than any analytical defect. No model was wrong. A change crossed into production without the properties that would have caught it.</w:t>
      </w:r>
    </w:p>
    <w:p>
      <w:pPr>
        <w:spacing w:after="70" w:before="160"/>
      </w:pPr>
      <w:r>
        <w:rPr>
          <w:b/>
          <w:bCs/>
          <w:color w:val="57534A"/>
          <w:sz w:val="20"/>
          <w:szCs w:val="20"/>
        </w:rPr>
        <w:t xml:space="preserve">Post Office Horizon</w:t>
      </w:r>
    </w:p>
    <w:p>
      <w:pPr>
        <w:spacing w:after="90" w:before="0" w:line="276"/>
      </w:pPr>
      <w:r>
        <w:rPr>
          <w:b w:val="false"/>
          <w:bCs w:val="false"/>
          <w:i/>
          <w:iCs/>
          <w:color w:val="6E6A62"/>
          <w:sz w:val="20"/>
          <w:szCs w:val="20"/>
        </w:rPr>
        <w:t xml:space="preserve">Source: Bates and others v Post Office Limited; the subsequent statutory inquiry; Court of Appeal judgments.</w:t>
      </w:r>
    </w:p>
    <w:p>
      <w:pPr>
        <w:spacing w:after="120" w:before="0" w:line="276"/>
      </w:pPr>
      <w:r>
        <w:rPr>
          <w:b w:val="false"/>
          <w:bCs w:val="false"/>
          <w:i w:val="false"/>
          <w:iCs w:val="false"/>
          <w:color w:val="1B1A18"/>
          <w:sz w:val="20"/>
          <w:szCs w:val="20"/>
        </w:rP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 It is authority for the danger of treating system output as inherently trustworthy — not for the proposition that automated records are unreliable, and over-reading it costs credibility.</w:t>
      </w:r>
    </w:p>
    <w:p>
      <w:pPr>
        <w:spacing w:after="70" w:before="160"/>
      </w:pPr>
      <w:r>
        <w:rPr>
          <w:b/>
          <w:bCs/>
          <w:color w:val="57534A"/>
          <w:sz w:val="20"/>
          <w:szCs w:val="20"/>
        </w:rPr>
        <w:t xml:space="preserve">Lidl / SAP</w:t>
      </w:r>
    </w:p>
    <w:p>
      <w:pPr>
        <w:spacing w:after="90" w:before="0" w:line="276"/>
      </w:pPr>
      <w:r>
        <w:rPr>
          <w:b w:val="false"/>
          <w:bCs w:val="false"/>
          <w:i/>
          <w:iCs/>
          <w:color w:val="6E6A62"/>
          <w:sz w:val="20"/>
          <w:szCs w:val="20"/>
        </w:rPr>
        <w:t xml:space="preserve">Source: Widely reported; programme cancelled 2018.</w:t>
      </w:r>
    </w:p>
    <w:p>
      <w:pPr>
        <w:spacing w:after="120" w:before="0" w:line="276"/>
      </w:pPr>
      <w:r>
        <w:rPr>
          <w:b w:val="false"/>
          <w:bCs w:val="false"/>
          <w:i w:val="false"/>
          <w:iCs w:val="false"/>
          <w:color w:val="1B1A18"/>
          <w:sz w:val="20"/>
          <w:szCs w:val="20"/>
        </w:rPr>
        <w:t xml:space="preserve">A seven-year programme to replace merchandise management with a standard ERP, cancelled in 2018 at a reported cost around half a billion euros. The root cause as reported was a single collision of meaning at the boundary between enterprise and product: the retailer valued inventory at purchase prices, the standard was built around retail prices. Neither was wrong. The difference had nowhere to land but customisation, layered until the deployment had forked so far it could no longer ride the product’s evolution. It convicts both sides of the same partition failure — an enterprise whose legitimate variance had nowhere to go, and a platform whose invariants claimed territory that was never theirs to fix.</w:t>
      </w:r>
    </w:p>
    <w:p>
      <w:pPr>
        <w:pStyle w:val="Heading1"/>
        <w:spacing w:after="130" w:before="300"/>
      </w:pPr>
      <w:r>
        <w:rPr>
          <w:b/>
          <w:bCs/>
          <w:color w:val="33302B"/>
          <w:sz w:val="29"/>
          <w:szCs w:val="29"/>
        </w:rPr>
        <w:t xml:space="preserve">Part D · Objections, and the errors that recur</w:t>
      </w:r>
    </w:p>
    <w:p>
      <w:pPr>
        <w:spacing w:after="140" w:line="276"/>
      </w:pPr>
      <w:r>
        <w:rPr>
          <w:i/>
          <w:iCs/>
          <w:color w:val="6E6A62"/>
          <w:sz w:val="20"/>
          <w:szCs w:val="20"/>
        </w:rPr>
        <w:t xml:space="preserve">Every objection below will come. Concede the true part of each before answering it — that concession is most of the instructor’s credibility.</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3400"/>
        <w:gridCol w:w="6680"/>
      </w:tblGrid>
      <w:tr>
        <w:trPr>
          <w:tblHeader/>
        </w:trPr>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Objection</w:t>
            </w:r>
          </w:p>
        </w:tc>
        <w:tc>
          <w:tcPr>
            <w:tcW w:type="dxa" w:w="6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Response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"This is a technology problem. Why is it on my agenda?"</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Concede that the remedies are technical. Then locate the board’s interest precisely: the properties are the things the institution answers for. Accountability, coherence and memory are the substance of regulatory exposure, and none of them can be delegated to a supplier because the supplier does not receive the obligation.</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"Our CIO says this is already handled."</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Likely true per system and unlikely true per crossing. Give them the address test and the last-month test to run, and note that both are answerable in a single meeting. A board member who returns with the results has learned more than any assurance report conveys.</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are moving too slowly already. This adds friction."</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Agree that it can, and that governance which ossifies is a real failure mode — session 10 exists for it. Then note that specifying a boundary is cheap while reconstructing meaning is not, and Phoenix is the price of discovering that in the wrong order.</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"Our vendor has certified all of this."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Certifications describe controls that exist; the protocol asks for demonstrations at boundaries. The compliance-feature trap is the relevant one: a permissions matrix is a feature, a floor is an architecture, and features break under exactly the customisation the vendor is offering.</w:t>
            </w:r>
          </w:p>
        </w:tc>
      </w:tr>
    </w:tbl>
    <w:p>
      <w:pPr>
        <w:spacing w:after="130"/>
      </w:pPr>
    </w:p>
    <w:p>
      <w:pPr>
        <w:spacing w:after="70" w:before="160"/>
      </w:pPr>
      <w:r>
        <w:rPr>
          <w:b/>
          <w:bCs/>
          <w:color w:val="57534A"/>
          <w:sz w:val="20"/>
          <w:szCs w:val="20"/>
        </w:rPr>
        <w:t xml:space="preserve">The recurring errors, in order of how much damage they do</w:t>
      </w:r>
    </w:p>
    <w:p>
      <w:pPr>
        <w:pStyle w:val="ListParagraph"/>
        <w:numPr>
          <w:ilvl w:val="0"/>
          <w:numId w:val="2"/>
        </w:numPr>
        <w:spacing w:after="70" w:line="276"/>
      </w:pPr>
      <w:r>
        <w:rPr>
          <w:b/>
          <w:bCs/>
          <w:color w:val="1B1A18"/>
          <w:sz w:val="20"/>
          <w:szCs w:val="20"/>
        </w:rPr>
        <w:t xml:space="preserve">Leading with the framework rather than a case. </w:t>
      </w:r>
      <w:r>
        <w:rPr>
          <w:color w:val="1B1A18"/>
          <w:sz w:val="20"/>
          <w:szCs w:val="20"/>
        </w:rPr>
        <w:t xml:space="preserve">Executives disengage from taxonomies and engage with an unravelled transformation. The six properties should arrive as the explanation of something the room has already agreed is puzzling.</w:t>
      </w:r>
    </w:p>
    <w:p>
      <w:pPr>
        <w:pStyle w:val="ListParagraph"/>
        <w:numPr>
          <w:ilvl w:val="0"/>
          <w:numId w:val="2"/>
        </w:numPr>
        <w:spacing w:after="70" w:line="276"/>
      </w:pPr>
      <w:r>
        <w:rPr>
          <w:b/>
          <w:bCs/>
          <w:color w:val="1B1A18"/>
          <w:sz w:val="20"/>
          <w:szCs w:val="20"/>
        </w:rPr>
        <w:t xml:space="preserve">Letting the six become a maturity model. </w:t>
      </w:r>
      <w:r>
        <w:rPr>
          <w:color w:val="1B1A18"/>
          <w:sz w:val="20"/>
          <w:szCs w:val="20"/>
        </w:rPr>
        <w:t xml:space="preserve">They are conserved quantities. Scoring them three out of five converts a never into a rate, which is the exact error session 3 exists to prevent.</w:t>
      </w:r>
    </w:p>
    <w:p>
      <w:pPr>
        <w:pStyle w:val="ListParagraph"/>
        <w:numPr>
          <w:ilvl w:val="0"/>
          <w:numId w:val="2"/>
        </w:numPr>
        <w:spacing w:after="70" w:line="276"/>
      </w:pPr>
      <w:r>
        <w:rPr>
          <w:b/>
          <w:bCs/>
          <w:color w:val="1B1A18"/>
          <w:sz w:val="20"/>
          <w:szCs w:val="20"/>
        </w:rPr>
        <w:t xml:space="preserve">Skipping the arithmetic in session 7. </w:t>
      </w:r>
      <w:r>
        <w:rPr>
          <w:color w:val="1B1A18"/>
          <w:sz w:val="20"/>
          <w:szCs w:val="20"/>
        </w:rPr>
        <w:t xml:space="preserve">Items per month against minutes per item is the most persuasive thirty seconds in the course. Do it on the board, with the room’s own numbers.</w:t>
      </w:r>
    </w:p>
    <w:p>
      <w:pPr>
        <w:pStyle w:val="ListParagraph"/>
        <w:numPr>
          <w:ilvl w:val="0"/>
          <w:numId w:val="2"/>
        </w:numPr>
        <w:spacing w:after="70" w:line="276"/>
      </w:pPr>
      <w:r>
        <w:rPr>
          <w:b/>
          <w:bCs/>
          <w:color w:val="1B1A18"/>
          <w:sz w:val="20"/>
          <w:szCs w:val="20"/>
        </w:rPr>
        <w:t xml:space="preserve">Accepting softened protocol questions in session 11. </w:t>
      </w:r>
      <w:r>
        <w:rPr>
          <w:color w:val="1B1A18"/>
          <w:sz w:val="20"/>
          <w:szCs w:val="20"/>
        </w:rPr>
        <w:t xml:space="preserve">The value of the session is that the questions are uncomfortable and cheap. A polite version teaches the opposite lesson.</w:t>
      </w:r>
    </w:p>
    <w:p>
      <w:pPr>
        <w:pStyle w:val="ListParagraph"/>
        <w:numPr>
          <w:ilvl w:val="0"/>
          <w:numId w:val="2"/>
        </w:numPr>
        <w:spacing w:after="70" w:line="276"/>
      </w:pPr>
      <w:r>
        <w:rPr>
          <w:b/>
          <w:bCs/>
          <w:color w:val="1B1A18"/>
          <w:sz w:val="20"/>
          <w:szCs w:val="20"/>
        </w:rPr>
        <w:t xml:space="preserve">Allowing final briefings in course vocabulary. </w:t>
      </w:r>
      <w:r>
        <w:rPr>
          <w:color w:val="1B1A18"/>
          <w:sz w:val="20"/>
          <w:szCs w:val="20"/>
        </w:rPr>
        <w:t xml:space="preserve">Translation into the firm’s own governance language is the assessed skill, not an afterthought.</w:t>
      </w:r>
    </w:p>
    <w:p>
      <w:pPr>
        <w:pStyle w:val="Heading1"/>
        <w:spacing w:after="130" w:before="300"/>
      </w:pPr>
      <w:r>
        <w:rPr>
          <w:b/>
          <w:bCs/>
          <w:color w:val="33302B"/>
          <w:sz w:val="29"/>
          <w:szCs w:val="29"/>
        </w:rPr>
        <w:t xml:space="preserve">Instructor discipline</w:t>
      </w:r>
    </w:p>
    <w:p>
      <w:pPr>
        <w:pStyle w:val="ListParagraph"/>
        <w:numPr>
          <w:ilvl w:val="0"/>
          <w:numId w:val="2"/>
        </w:numPr>
        <w:spacing w:after="70" w:line="276"/>
      </w:pPr>
      <w:r>
        <w:rPr>
          <w:b/>
          <w:bCs/>
          <w:color w:val="1B1A18"/>
          <w:sz w:val="20"/>
          <w:szCs w:val="20"/>
        </w:rPr>
        <w:t xml:space="preserve">Never name a supplier as compliant or deficient. </w:t>
      </w:r>
      <w:r>
        <w:rPr>
          <w:color w:val="1B1A18"/>
          <w:sz w:val="20"/>
          <w:szCs w:val="20"/>
        </w:rPr>
        <w:t xml:space="preserve">Students will ask directly. Decline and hand back the protocol, which is the more useful answer and the only defensible one.</w:t>
      </w:r>
    </w:p>
    <w:p>
      <w:pPr>
        <w:pStyle w:val="ListParagraph"/>
        <w:numPr>
          <w:ilvl w:val="0"/>
          <w:numId w:val="2"/>
        </w:numPr>
        <w:spacing w:after="70" w:line="276"/>
      </w:pPr>
      <w:r>
        <w:rPr>
          <w:b/>
          <w:bCs/>
          <w:color w:val="1B1A18"/>
          <w:sz w:val="20"/>
          <w:szCs w:val="20"/>
        </w:rPr>
        <w:t xml:space="preserve">The failures are the teaching instrument. </w:t>
      </w:r>
      <w:r>
        <w:rPr>
          <w:color w:val="1B1A18"/>
          <w:sz w:val="20"/>
          <w:szCs w:val="20"/>
        </w:rPr>
        <w:t xml:space="preserve">A property cannot be seen; its absence can be recognised by the damage. When a session stalls, stop explaining the property and ask what its absence would look like on a Tuesday afternoon.</w:t>
      </w:r>
    </w:p>
    <w:p>
      <w:pPr>
        <w:pStyle w:val="ListParagraph"/>
        <w:numPr>
          <w:ilvl w:val="0"/>
          <w:numId w:val="2"/>
        </w:numPr>
        <w:spacing w:after="70" w:line="276"/>
      </w:pPr>
      <w:r>
        <w:rPr>
          <w:b/>
          <w:bCs/>
          <w:color w:val="1B1A18"/>
          <w:sz w:val="20"/>
          <w:szCs w:val="20"/>
        </w:rPr>
        <w:t xml:space="preserve">Demonstration over documentation, in the classroom too. </w:t>
      </w:r>
      <w:r>
        <w:rPr>
          <w:color w:val="1B1A18"/>
          <w:sz w:val="20"/>
          <w:szCs w:val="20"/>
        </w:rPr>
        <w:t xml:space="preserve">Any claim a student makes about a system should be met with: show me the crossing, and show me what survives it.</w:t>
      </w:r>
    </w:p>
    <w:p>
      <w:pPr>
        <w:pStyle w:val="ListParagraph"/>
        <w:numPr>
          <w:ilvl w:val="0"/>
          <w:numId w:val="2"/>
        </w:numPr>
        <w:spacing w:after="70" w:line="276"/>
      </w:pPr>
      <w:r>
        <w:rPr>
          <w:b/>
          <w:bCs/>
          <w:color w:val="1B1A18"/>
          <w:sz w:val="20"/>
          <w:szCs w:val="20"/>
        </w:rPr>
        <w:t xml:space="preserve">Concede the limits early. </w:t>
      </w:r>
      <w:r>
        <w:rPr>
          <w:color w:val="1B1A18"/>
          <w:sz w:val="20"/>
          <w:szCs w:val="20"/>
        </w:rPr>
        <w:t xml:space="preserve">Custody of the six says nothing about model accuracy, bias, fair outcomes, or capital. It is necessary and not sufficient. Say so in the first session; a bounded claim is trusted and a total one is not.</w:t>
      </w:r>
    </w:p>
    <w:p>
      <w:pPr>
        <w:pStyle w:val="ListParagraph"/>
        <w:numPr>
          <w:ilvl w:val="0"/>
          <w:numId w:val="2"/>
        </w:numPr>
        <w:spacing w:after="70" w:line="276"/>
      </w:pPr>
      <w:r>
        <w:rPr>
          <w:b/>
          <w:bCs/>
          <w:color w:val="1B1A18"/>
          <w:sz w:val="20"/>
          <w:szCs w:val="20"/>
        </w:rPr>
        <w:t xml:space="preserve">Declare any commercial interest in the first session. </w:t>
      </w:r>
      <w:r>
        <w:rPr>
          <w:color w:val="1B1A18"/>
          <w:sz w:val="20"/>
          <w:szCs w:val="20"/>
        </w:rPr>
        <w:t xml:space="preserve">If the instructor works for a supplier, say so and invite the room to run the protocol hardest against that supplier. It costs nothing and buys the rest of the course.</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MZ-EDU-IG-MBA v2.0  •  instructor guide · self-contained — no book lookup required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MBA instructor guide · self-contained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2026-08-19T17:43:31.594Z</dcterms:created>
  <dcterms:modified xsi:type="dcterms:W3CDTF">2026-08-19T17:43:31.608Z</dcterms:modified>
</cp:coreProperties>
</file>

<file path=docProps/custom.xml><?xml version="1.0" encoding="utf-8"?>
<Properties xmlns="http://schemas.openxmlformats.org/officeDocument/2006/custom-properties" xmlns:vt="http://schemas.openxmlformats.org/officeDocument/2006/docPropsVTypes"/>
</file>