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00"/>
      </w:pPr>
      <w:r>
        <w:rPr>
          <w:b/>
          <w:bCs/>
          <w:caps/>
          <w:color w:val="33302B"/>
          <w:spacing w:val="40"/>
          <w:sz w:val="21"/>
          <w:szCs w:val="21"/>
        </w:rPr>
        <w:t xml:space="preserve">Case-driven teaching</w:t>
      </w:r>
    </w:p>
    <w:p>
      <w:pPr>
        <w:pBdr>
          <w:bottom w:val="single" w:color="33302B" w:sz="12"/>
        </w:pBdr>
        <w:spacing w:after="120"/>
      </w:pPr>
      <w:r>
        <w:rPr>
          <w:b/>
          <w:bCs/>
          <w:color w:val="1B1A18"/>
          <w:sz w:val="45"/>
          <w:szCs w:val="45"/>
        </w:rPr>
        <w:t xml:space="preserve">Teaching Case Pack</w:t>
      </w:r>
    </w:p>
    <w:p>
      <w:pPr>
        <w:spacing w:after="300" w:before="140"/>
      </w:pPr>
      <w:r>
        <w:rPr>
          <w:i/>
          <w:iCs/>
          <w:color w:val="6E6A62"/>
          <w:sz w:val="23"/>
          <w:szCs w:val="23"/>
        </w:rPr>
        <w:t xml:space="preserve">Ten consequence records, sourced to courts, regulators, and companies' own admissions</w:t>
      </w:r>
    </w:p>
    <w:p>
      <w:pPr>
        <w:spacing w:after="40" w:line="276"/>
      </w:pPr>
      <w:r>
        <w:rPr>
          <w:b/>
          <w:bCs/>
          <w:color w:val="1B1A18"/>
          <w:sz w:val="20"/>
          <w:szCs w:val="20"/>
        </w:rPr>
        <w:t xml:space="preserve">Course: </w:t>
      </w:r>
      <w:r>
        <w:rPr>
          <w:color w:val="1B1A18"/>
          <w:sz w:val="20"/>
          <w:szCs w:val="20"/>
        </w:rPr>
        <w:t xml:space="preserve">Governing the Agentic Enterprise (MBA / Executive Education)</w:t>
      </w:r>
    </w:p>
    <w:p>
      <w:pPr>
        <w:spacing w:after="40" w:line="276"/>
      </w:pPr>
      <w:r>
        <w:rPr>
          <w:b/>
          <w:bCs/>
          <w:color w:val="1B1A18"/>
          <w:sz w:val="20"/>
          <w:szCs w:val="20"/>
        </w:rPr>
        <w:t xml:space="preserve">Source text: </w:t>
      </w:r>
      <w:r>
        <w:rPr>
          <w:i/>
          <w:iCs/>
          <w:color w:val="1B1A18"/>
          <w:sz w:val="20"/>
          <w:szCs w:val="20"/>
        </w:rPr>
        <w:t xml:space="preserve">What the Structure Does Not Carry</w:t>
      </w:r>
      <w:r>
        <w:rPr>
          <w:color w:val="1B1A18"/>
          <w:sz w:val="20"/>
          <w:szCs w:val="20"/>
        </w:rPr>
        <w:t xml:space="preserve"> — Georg Zangl (2026)</w:t>
      </w:r>
    </w:p>
    <w:p>
      <w:pPr>
        <w:spacing w:after="300" w:line="276"/>
      </w:pPr>
      <w:r>
        <w:rPr>
          <w:b/>
          <w:bCs/>
          <w:color w:val="1B1A18"/>
          <w:sz w:val="20"/>
          <w:szCs w:val="20"/>
        </w:rPr>
        <w:t xml:space="preserve">Instructor: </w:t>
      </w:r>
      <w:r>
        <w:rPr>
          <w:color w:val="1B1A18"/>
          <w:sz w:val="20"/>
          <w:szCs w:val="20"/>
        </w:rPr>
        <w:t xml:space="preserve">[Instructor name]     </w:t>
      </w:r>
      <w:r>
        <w:rPr>
          <w:b/>
          <w:bCs/>
          <w:color w:val="1B1A18"/>
          <w:sz w:val="20"/>
          <w:szCs w:val="20"/>
        </w:rPr>
        <w:t xml:space="preserve">Term: </w:t>
      </w:r>
      <w:r>
        <w:rPr>
          <w:color w:val="1B1A18"/>
          <w:sz w:val="20"/>
          <w:szCs w:val="20"/>
        </w:rPr>
        <w:t xml:space="preserve">[Term / cohort]</w:t>
      </w:r>
    </w:p>
    <w:p>
      <w:pPr>
        <w:spacing w:after="110" w:line="276"/>
      </w:pPr>
      <w:r>
        <w:rPr>
          <w:i/>
          <w:iCs/>
          <w:color w:val="6E6A62"/>
          <w:sz w:val="20"/>
          <w:szCs w:val="20"/>
        </w:rPr>
        <w:t xml:space="preserve">Each case is a documented failure, presented in the book’s consequence-record style: the facts (with primary sources), the property that was not in custody, discussion questions for the room, and teaching notes with the board-level lesson. They are keyed to the sessions but stand alone; substitute a more recent or jurisdiction-specific case wherever a sharper local example exists — holding to the same standard, that named incidents are sourced to courts, regulators, official investigations, or companies’ own admissions, never to rumour.</w:t>
      </w:r>
    </w:p>
    <w:p>
      <w:pPr>
        <w:spacing w:after="110" w:line="276"/>
      </w:pPr>
      <w:r>
        <w:rPr>
          <w:i/>
          <w:iCs/>
          <w:color w:val="6E6A62"/>
          <w:sz w:val="20"/>
          <w:szCs w:val="20"/>
        </w:rPr>
        <w:t xml:space="preserve">Figures that move (penalties, spend, redress) are stated as reported at mid-2026 and will age; the judgments and orders beneath them will not. Teaching notes are for the instructor.</w:t>
      </w:r>
    </w:p>
    <w:p>
      <w:r>
        <w:br w:type="page"/>
      </w:r>
    </w:p>
    <w:p>
      <w:pPr>
        <w:pStyle w:val="Heading1"/>
        <w:spacing w:after="130" w:before="300"/>
      </w:pPr>
      <w:r>
        <w:rPr>
          <w:b/>
          <w:bCs/>
          <w:color w:val="33302B"/>
          <w:sz w:val="29"/>
          <w:szCs w:val="29"/>
        </w:rPr>
        <w:t xml:space="preserve">Case 1 — Phoenix Pay System — the carriers removed</w:t>
      </w:r>
    </w:p>
    <w:p>
      <w:pPr>
        <w:spacing w:after="60" w:line="276"/>
      </w:pPr>
      <w:r>
        <w:rPr>
          <w:b/>
          <w:bCs/>
          <w:color w:val="57534A"/>
          <w:sz w:val="20"/>
          <w:szCs w:val="20"/>
        </w:rPr>
        <w:t xml:space="preserve">Session 1   ·   </w:t>
      </w:r>
      <w:r>
        <w:rPr>
          <w:color w:val="1B1A18"/>
          <w:sz w:val="20"/>
          <w:szCs w:val="20"/>
        </w:rPr>
        <w:t xml:space="preserve">consequence record</w:t>
      </w:r>
    </w:p>
    <w:p>
      <w:pPr>
        <w:pStyle w:val="Heading3"/>
        <w:spacing w:after="70" w:before="160"/>
      </w:pPr>
      <w:r>
        <w:rPr>
          <w:b/>
          <w:bCs/>
          <w:color w:val="57534A"/>
          <w:sz w:val="20"/>
          <w:szCs w:val="20"/>
        </w:rPr>
        <w:t xml:space="preserve">The facts</w:t>
      </w:r>
    </w:p>
    <w:p>
      <w:pPr>
        <w:spacing w:after="110" w:line="276"/>
      </w:pPr>
      <w:r>
        <w:rPr>
          <w:color w:val="1B1A18"/>
          <w:sz w:val="20"/>
          <w:szCs w:val="20"/>
        </w:rPr>
        <w:t xml:space="preserve">To save money, the Canadian federal government consolidated payroll onto a new system and eliminated roughly 700 experienced compensation advisers. The advisers had quietly carried judgement the system did not: which exceptions were legitimate, why a figure was approved, how to reconcile edge cases across departments. Within months, hundreds of thousands of employees were mis- or unpaid. Cumulative spending reached about $4.3 billion against an original remediation projection of roughly $2.2 billion, with around a quarter of a million pay transactions still outstanding years later.</w:t>
      </w:r>
    </w:p>
    <w:p>
      <w:pPr>
        <w:spacing w:after="120" w:before="30" w:line="264"/>
      </w:pPr>
      <w:r>
        <w:rPr>
          <w:b/>
          <w:bCs/>
          <w:color w:val="57534A"/>
          <w:sz w:val="17"/>
          <w:szCs w:val="17"/>
        </w:rPr>
        <w:t xml:space="preserve">Sources.  </w:t>
      </w:r>
      <w:r>
        <w:rPr>
          <w:i/>
          <w:iCs/>
          <w:color w:val="6E6A62"/>
          <w:sz w:val="17"/>
          <w:szCs w:val="17"/>
        </w:rPr>
        <w:t xml:space="preserve">Auditor General of Canada, Phoenix Pay Problems (2017) and Building and Implementing the Phoenix Pay System (2018); Standing Senate Committee on National Finance (2018); Public Services and Procurement Canada figures (2026).</w:t>
      </w:r>
    </w:p>
    <w:p>
      <w:pPr>
        <w:pStyle w:val="Heading3"/>
        <w:spacing w:after="70" w:before="160"/>
      </w:pPr>
      <w:r>
        <w:rPr>
          <w:b/>
          <w:bCs/>
          <w:color w:val="57534A"/>
          <w:sz w:val="20"/>
          <w:szCs w:val="20"/>
        </w:rPr>
        <w:t xml:space="preserve">The crossing &amp; the property</w:t>
      </w:r>
    </w:p>
    <w:p>
      <w:pPr>
        <w:spacing w:after="110" w:line="276"/>
      </w:pPr>
      <w:r>
        <w:rPr>
          <w:color w:val="1B1A18"/>
          <w:sz w:val="20"/>
          <w:szCs w:val="20"/>
        </w:rPr>
        <w:t xml:space="preserve">Context and accountability. The invisible layer of advisers was removed before the structure could carry what they held; the business case had assumed them away.</w:t>
      </w:r>
    </w:p>
    <w:p>
      <w:pPr>
        <w:pStyle w:val="Heading3"/>
        <w:spacing w:after="70" w:before="160"/>
      </w:pPr>
      <w:r>
        <w:rPr>
          <w:b/>
          <w:bCs/>
          <w:color w:val="57534A"/>
          <w:sz w:val="20"/>
          <w:szCs w:val="20"/>
        </w:rPr>
        <w:t xml:space="preserve">Discussion questions</w:t>
      </w:r>
    </w:p>
    <w:p>
      <w:pPr>
        <w:spacing w:after="70" w:line="268"/>
        <w:ind w:left="380" w:hanging="260"/>
      </w:pPr>
      <w:r>
        <w:rPr>
          <w:b/>
          <w:bCs/>
          <w:color w:val="33302B"/>
          <w:sz w:val="20"/>
          <w:szCs w:val="20"/>
        </w:rPr>
        <w:t xml:space="preserve">1.  </w:t>
      </w:r>
      <w:r>
        <w:rPr>
          <w:color w:val="1B1A18"/>
          <w:sz w:val="20"/>
          <w:szCs w:val="20"/>
        </w:rPr>
        <w:t xml:space="preserve">What exactly did the 700 advisers carry that no interface modelled? Where were those crossings?</w:t>
      </w:r>
    </w:p>
    <w:p>
      <w:pPr>
        <w:spacing w:after="70" w:line="268"/>
        <w:ind w:left="380" w:hanging="260"/>
      </w:pPr>
      <w:r>
        <w:rPr>
          <w:b/>
          <w:bCs/>
          <w:color w:val="33302B"/>
          <w:sz w:val="20"/>
          <w:szCs w:val="20"/>
        </w:rPr>
        <w:t xml:space="preserve">2.  </w:t>
      </w:r>
      <w:r>
        <w:rPr>
          <w:color w:val="1B1A18"/>
          <w:sz w:val="20"/>
          <w:szCs w:val="20"/>
        </w:rPr>
        <w:t xml:space="preserve">How would you have tested the business case for its dependence on the invisible layer before go-live?</w:t>
      </w:r>
    </w:p>
    <w:p>
      <w:pPr>
        <w:spacing w:after="70" w:line="268"/>
        <w:ind w:left="380" w:hanging="260"/>
      </w:pPr>
      <w:r>
        <w:rPr>
          <w:b/>
          <w:bCs/>
          <w:color w:val="33302B"/>
          <w:sz w:val="20"/>
          <w:szCs w:val="20"/>
        </w:rPr>
        <w:t xml:space="preserve">3.  </w:t>
      </w:r>
      <w:r>
        <w:rPr>
          <w:color w:val="1B1A18"/>
          <w:sz w:val="20"/>
          <w:szCs w:val="20"/>
        </w:rPr>
        <w:t xml:space="preserve">If you were on the board, what single question would have exposed the risk beforehand?</w:t>
      </w:r>
    </w:p>
    <w:p>
      <w:pPr>
        <w:pStyle w:val="Heading2"/>
        <w:spacing w:after="90" w:before="220"/>
      </w:pPr>
      <w:r>
        <w:rPr>
          <w:b/>
          <w:bCs/>
          <w:color w:val="1B1A18"/>
          <w:sz w:val="23"/>
          <w:szCs w:val="23"/>
        </w:rPr>
        <w:t xml:space="preserve">Teaching note — the board lesson</w:t>
      </w:r>
    </w:p>
    <w:p>
      <w:pPr>
        <w:spacing w:after="110" w:line="276"/>
      </w:pPr>
      <w:r>
        <w:rPr>
          <w:color w:val="1B1A18"/>
          <w:sz w:val="20"/>
          <w:szCs w:val="20"/>
        </w:rPr>
        <w:t xml:space="preserve">A transformation that removes carriers without teaching the structure to carry what they held does not save the cost — it defers and multiplies it. This is the course’s opening pattern, at national scale.</w:t>
      </w:r>
    </w:p>
    <w:p>
      <w:r>
        <w:br w:type="page"/>
      </w:r>
    </w:p>
    <w:p>
      <w:pPr>
        <w:pStyle w:val="Heading1"/>
        <w:spacing w:after="130" w:before="300"/>
      </w:pPr>
      <w:r>
        <w:rPr>
          <w:b/>
          <w:bCs/>
          <w:color w:val="33302B"/>
          <w:sz w:val="29"/>
          <w:szCs w:val="29"/>
        </w:rPr>
        <w:t xml:space="preserve">Case 2 — Maersk / NotPetya — the enterprise is its properties</w:t>
      </w:r>
    </w:p>
    <w:p>
      <w:pPr>
        <w:spacing w:after="60" w:line="276"/>
      </w:pPr>
      <w:r>
        <w:rPr>
          <w:b/>
          <w:bCs/>
          <w:color w:val="57534A"/>
          <w:sz w:val="20"/>
          <w:szCs w:val="20"/>
        </w:rPr>
        <w:t xml:space="preserve">Session 2   ·   </w:t>
      </w:r>
      <w:r>
        <w:rPr>
          <w:color w:val="1B1A18"/>
          <w:sz w:val="20"/>
          <w:szCs w:val="20"/>
        </w:rPr>
        <w:t xml:space="preserve">consequence record</w:t>
      </w:r>
    </w:p>
    <w:p>
      <w:pPr>
        <w:pStyle w:val="Heading3"/>
        <w:spacing w:after="70" w:before="160"/>
      </w:pPr>
      <w:r>
        <w:rPr>
          <w:b/>
          <w:bCs/>
          <w:color w:val="57534A"/>
          <w:sz w:val="20"/>
          <w:szCs w:val="20"/>
        </w:rPr>
        <w:t xml:space="preserve">The facts</w:t>
      </w:r>
    </w:p>
    <w:p>
      <w:pPr>
        <w:spacing w:after="110" w:line="276"/>
      </w:pPr>
      <w:r>
        <w:rPr>
          <w:color w:val="1B1A18"/>
          <w:sz w:val="20"/>
          <w:szCs w:val="20"/>
        </w:rPr>
        <w:t xml:space="preserve">In 2017 the NotPetya malware wiped Maersk’s global IT within hours. The company estimated a $250–300 million loss. Recovery depended on a single domain controller in Ghana that happened to be offline during the attack; from that one surviving replica the firm rebuilt roughly 4,000 servers and 45,000 PCs in ten days. Throughout, some 80% of shipping volume was kept moving manually — by people carrying what the systems no longer could.</w:t>
      </w:r>
    </w:p>
    <w:p>
      <w:pPr>
        <w:spacing w:after="120" w:before="30" w:line="264"/>
      </w:pPr>
      <w:r>
        <w:rPr>
          <w:b/>
          <w:bCs/>
          <w:color w:val="57534A"/>
          <w:sz w:val="17"/>
          <w:szCs w:val="17"/>
        </w:rPr>
        <w:t xml:space="preserve">Sources.  </w:t>
      </w:r>
      <w:r>
        <w:rPr>
          <w:i/>
          <w:iCs/>
          <w:color w:val="6E6A62"/>
          <w:sz w:val="17"/>
          <w:szCs w:val="17"/>
        </w:rPr>
        <w:t xml:space="preserve">Maersk interim report (Aug 2017); Jim Hagemann Snabe, World Economic Forum (Jan 2018); Andy Greenberg, Wired (2018) and Sandworm (2019).</w:t>
      </w:r>
    </w:p>
    <w:p>
      <w:pPr>
        <w:pStyle w:val="Heading3"/>
        <w:spacing w:after="70" w:before="160"/>
      </w:pPr>
      <w:r>
        <w:rPr>
          <w:b/>
          <w:bCs/>
          <w:color w:val="57534A"/>
          <w:sz w:val="20"/>
          <w:szCs w:val="20"/>
        </w:rPr>
        <w:t xml:space="preserve">The crossing &amp; the property</w:t>
      </w:r>
    </w:p>
    <w:p>
      <w:pPr>
        <w:spacing w:after="110" w:line="276"/>
      </w:pPr>
      <w:r>
        <w:rPr>
          <w:color w:val="1B1A18"/>
          <w:sz w:val="20"/>
          <w:szCs w:val="20"/>
        </w:rPr>
        <w:t xml:space="preserve">Coordination, execution coherence, and institutional memory — and, vividly, the human layer that kept the enterprise alive for ten days while the systems were gone.</w:t>
      </w:r>
    </w:p>
    <w:p>
      <w:pPr>
        <w:pStyle w:val="Heading3"/>
        <w:spacing w:after="70" w:before="160"/>
      </w:pPr>
      <w:r>
        <w:rPr>
          <w:b/>
          <w:bCs/>
          <w:color w:val="57534A"/>
          <w:sz w:val="20"/>
          <w:szCs w:val="20"/>
        </w:rPr>
        <w:t xml:space="preserve">Discussion questions</w:t>
      </w:r>
    </w:p>
    <w:p>
      <w:pPr>
        <w:spacing w:after="70" w:line="268"/>
        <w:ind w:left="380" w:hanging="260"/>
      </w:pPr>
      <w:r>
        <w:rPr>
          <w:b/>
          <w:bCs/>
          <w:color w:val="33302B"/>
          <w:sz w:val="20"/>
          <w:szCs w:val="20"/>
        </w:rPr>
        <w:t xml:space="preserve">1.  </w:t>
      </w:r>
      <w:r>
        <w:rPr>
          <w:color w:val="1B1A18"/>
          <w:sz w:val="20"/>
          <w:szCs w:val="20"/>
        </w:rPr>
        <w:t xml:space="preserve">Maersk survived because of one lucky replica and thousands of improvising people. Which of those is a strategy?</w:t>
      </w:r>
    </w:p>
    <w:p>
      <w:pPr>
        <w:spacing w:after="70" w:line="268"/>
        <w:ind w:left="380" w:hanging="260"/>
      </w:pPr>
      <w:r>
        <w:rPr>
          <w:b/>
          <w:bCs/>
          <w:color w:val="33302B"/>
          <w:sz w:val="20"/>
          <w:szCs w:val="20"/>
        </w:rPr>
        <w:t xml:space="preserve">2.  </w:t>
      </w:r>
      <w:r>
        <w:rPr>
          <w:color w:val="1B1A18"/>
          <w:sz w:val="20"/>
          <w:szCs w:val="20"/>
        </w:rPr>
        <w:t xml:space="preserve">Which of the six properties did the manual workaround temporarily carry, and at what cost?</w:t>
      </w:r>
    </w:p>
    <w:p>
      <w:pPr>
        <w:spacing w:after="70" w:line="268"/>
        <w:ind w:left="380" w:hanging="260"/>
      </w:pPr>
      <w:r>
        <w:rPr>
          <w:b/>
          <w:bCs/>
          <w:color w:val="33302B"/>
          <w:sz w:val="20"/>
          <w:szCs w:val="20"/>
        </w:rPr>
        <w:t xml:space="preserve">3.  </w:t>
      </w:r>
      <w:r>
        <w:rPr>
          <w:color w:val="1B1A18"/>
          <w:sz w:val="20"/>
          <w:szCs w:val="20"/>
        </w:rPr>
        <w:t xml:space="preserve">What would ‘custody by construction’ have changed about the recovery?</w:t>
      </w:r>
    </w:p>
    <w:p>
      <w:pPr>
        <w:pStyle w:val="Heading2"/>
        <w:spacing w:after="90" w:before="220"/>
      </w:pPr>
      <w:r>
        <w:rPr>
          <w:b/>
          <w:bCs/>
          <w:color w:val="1B1A18"/>
          <w:sz w:val="23"/>
          <w:szCs w:val="23"/>
        </w:rPr>
        <w:t xml:space="preserve">Teaching note — the board lesson</w:t>
      </w:r>
    </w:p>
    <w:p>
      <w:pPr>
        <w:spacing w:after="110" w:line="276"/>
      </w:pPr>
      <w:r>
        <w:rPr>
          <w:color w:val="1B1A18"/>
          <w:sz w:val="20"/>
          <w:szCs w:val="20"/>
        </w:rPr>
        <w:t xml:space="preserve">The systems were destroyed and the enterprise survived — proof that the enterprise is its properties, not its systems. But survival rode on luck and heroics, neither of which is architecture.</w:t>
      </w:r>
    </w:p>
    <w:p>
      <w:r>
        <w:br w:type="page"/>
      </w:r>
    </w:p>
    <w:p>
      <w:pPr>
        <w:pStyle w:val="Heading1"/>
        <w:spacing w:after="130" w:before="300"/>
      </w:pPr>
      <w:r>
        <w:rPr>
          <w:b/>
          <w:bCs/>
          <w:color w:val="33302B"/>
          <w:sz w:val="29"/>
          <w:szCs w:val="29"/>
        </w:rPr>
        <w:t xml:space="preserve">Case 3 — Air Canada / Moffatt — the enterprise answers for its agent</w:t>
      </w:r>
    </w:p>
    <w:p>
      <w:pPr>
        <w:spacing w:after="60" w:line="276"/>
      </w:pPr>
      <w:r>
        <w:rPr>
          <w:b/>
          <w:bCs/>
          <w:color w:val="57534A"/>
          <w:sz w:val="20"/>
          <w:szCs w:val="20"/>
        </w:rPr>
        <w:t xml:space="preserve">Session 3   ·   </w:t>
      </w:r>
      <w:r>
        <w:rPr>
          <w:color w:val="1B1A18"/>
          <w:sz w:val="20"/>
          <w:szCs w:val="20"/>
        </w:rPr>
        <w:t xml:space="preserve">consequence record</w:t>
      </w:r>
    </w:p>
    <w:p>
      <w:pPr>
        <w:pStyle w:val="Heading3"/>
        <w:spacing w:after="70" w:before="160"/>
      </w:pPr>
      <w:r>
        <w:rPr>
          <w:b/>
          <w:bCs/>
          <w:color w:val="57534A"/>
          <w:sz w:val="20"/>
          <w:szCs w:val="20"/>
        </w:rPr>
        <w:t xml:space="preserve">The facts</w:t>
      </w:r>
    </w:p>
    <w:p>
      <w:pPr>
        <w:spacing w:after="110" w:line="276"/>
      </w:pPr>
      <w:r>
        <w:rPr>
          <w:color w:val="1B1A18"/>
          <w:sz w:val="20"/>
          <w:szCs w:val="20"/>
        </w:rPr>
        <w:t xml:space="preserve">Air Canada’s website chatbot told a customer he could claim a bereavement discount retroactively — a policy that did not exist. When the airline refused the refund, the customer went to a tribunal. Air Canada argued, in effect, that the chatbot was a separate entity responsible for its own statements. The tribunal rejected that as a remarkable submission and held the airline liable, awarding $650.88 in damages ($812.02 with fees).</w:t>
      </w:r>
    </w:p>
    <w:p>
      <w:pPr>
        <w:spacing w:after="120" w:before="30" w:line="264"/>
      </w:pPr>
      <w:r>
        <w:rPr>
          <w:b/>
          <w:bCs/>
          <w:color w:val="57534A"/>
          <w:sz w:val="17"/>
          <w:szCs w:val="17"/>
        </w:rPr>
        <w:t xml:space="preserve">Sources.  </w:t>
      </w:r>
      <w:r>
        <w:rPr>
          <w:i/>
          <w:iCs/>
          <w:color w:val="6E6A62"/>
          <w:sz w:val="17"/>
          <w:szCs w:val="17"/>
        </w:rPr>
        <w:t xml:space="preserve">Moffatt v. Air Canada, 2024 BCCRT 149 (Civil Resolution Tribunal of British Columbia, 14 Feb 2024), esp. para 27.</w:t>
      </w:r>
    </w:p>
    <w:p>
      <w:pPr>
        <w:pStyle w:val="Heading3"/>
        <w:spacing w:after="70" w:before="160"/>
      </w:pPr>
      <w:r>
        <w:rPr>
          <w:b/>
          <w:bCs/>
          <w:color w:val="57534A"/>
          <w:sz w:val="20"/>
          <w:szCs w:val="20"/>
        </w:rPr>
        <w:t xml:space="preserve">The crossing &amp; the property</w:t>
      </w:r>
    </w:p>
    <w:p>
      <w:pPr>
        <w:spacing w:after="110" w:line="276"/>
      </w:pPr>
      <w:r>
        <w:rPr>
          <w:color w:val="1B1A18"/>
          <w:sz w:val="20"/>
          <w:szCs w:val="20"/>
        </w:rPr>
        <w:t xml:space="preserve">Authority and accountability. The agent acted with the enterprise’s authority; the enterprise answers for what its agent said. ‘A system prompt is a request’ — instruction is not a guarantee, and it is certainly not a defence.</w:t>
      </w:r>
    </w:p>
    <w:p>
      <w:pPr>
        <w:pStyle w:val="Heading3"/>
        <w:spacing w:after="70" w:before="160"/>
      </w:pPr>
      <w:r>
        <w:rPr>
          <w:b/>
          <w:bCs/>
          <w:color w:val="57534A"/>
          <w:sz w:val="20"/>
          <w:szCs w:val="20"/>
        </w:rPr>
        <w:t xml:space="preserve">Discussion questions</w:t>
      </w:r>
    </w:p>
    <w:p>
      <w:pPr>
        <w:spacing w:after="70" w:line="268"/>
        <w:ind w:left="380" w:hanging="260"/>
      </w:pPr>
      <w:r>
        <w:rPr>
          <w:b/>
          <w:bCs/>
          <w:color w:val="33302B"/>
          <w:sz w:val="20"/>
          <w:szCs w:val="20"/>
        </w:rPr>
        <w:t xml:space="preserve">1.  </w:t>
      </w:r>
      <w:r>
        <w:rPr>
          <w:color w:val="1B1A18"/>
          <w:sz w:val="20"/>
          <w:szCs w:val="20"/>
        </w:rPr>
        <w:t xml:space="preserve">The dollar amount is trivial; why is this case cited far beyond its value?</w:t>
      </w:r>
    </w:p>
    <w:p>
      <w:pPr>
        <w:spacing w:after="70" w:line="268"/>
        <w:ind w:left="380" w:hanging="260"/>
      </w:pPr>
      <w:r>
        <w:rPr>
          <w:b/>
          <w:bCs/>
          <w:color w:val="33302B"/>
          <w:sz w:val="20"/>
          <w:szCs w:val="20"/>
        </w:rPr>
        <w:t xml:space="preserve">2.  </w:t>
      </w:r>
      <w:r>
        <w:rPr>
          <w:color w:val="1B1A18"/>
          <w:sz w:val="20"/>
          <w:szCs w:val="20"/>
        </w:rPr>
        <w:t xml:space="preserve">Where should the ‘never misstate policy’ rule have been enforced — and could a prompt ever enforce it?</w:t>
      </w:r>
    </w:p>
    <w:p>
      <w:pPr>
        <w:spacing w:after="70" w:line="268"/>
        <w:ind w:left="380" w:hanging="260"/>
      </w:pPr>
      <w:r>
        <w:rPr>
          <w:b/>
          <w:bCs/>
          <w:color w:val="33302B"/>
          <w:sz w:val="20"/>
          <w:szCs w:val="20"/>
        </w:rPr>
        <w:t xml:space="preserve">3.  </w:t>
      </w:r>
      <w:r>
        <w:rPr>
          <w:color w:val="1B1A18"/>
          <w:sz w:val="20"/>
          <w:szCs w:val="20"/>
        </w:rPr>
        <w:t xml:space="preserve">For your firm’s customer-facing agents, who is liable for a costly misstatement, and can you prove what the agent was told?</w:t>
      </w:r>
    </w:p>
    <w:p>
      <w:pPr>
        <w:pStyle w:val="Heading2"/>
        <w:spacing w:after="90" w:before="220"/>
      </w:pPr>
      <w:r>
        <w:rPr>
          <w:b/>
          <w:bCs/>
          <w:color w:val="1B1A18"/>
          <w:sz w:val="23"/>
          <w:szCs w:val="23"/>
        </w:rPr>
        <w:t xml:space="preserve">Teaching note — the board lesson</w:t>
      </w:r>
    </w:p>
    <w:p>
      <w:pPr>
        <w:spacing w:after="110" w:line="276"/>
      </w:pPr>
      <w:r>
        <w:rPr>
          <w:color w:val="1B1A18"/>
          <w:sz w:val="20"/>
          <w:szCs w:val="20"/>
        </w:rPr>
        <w:t xml:space="preserve">‘The AI said it’ is not a defence. If an agent can say or do something, the enterprise is accountable for it — which means the guarantee must live in structure, not in the model’s instructions.</w:t>
      </w:r>
    </w:p>
    <w:p>
      <w:r>
        <w:br w:type="page"/>
      </w:r>
    </w:p>
    <w:p>
      <w:pPr>
        <w:pStyle w:val="Heading1"/>
        <w:spacing w:after="130" w:before="300"/>
      </w:pPr>
      <w:r>
        <w:rPr>
          <w:b/>
          <w:bCs/>
          <w:color w:val="33302B"/>
          <w:sz w:val="29"/>
          <w:szCs w:val="29"/>
        </w:rPr>
        <w:t xml:space="preserve">Case 4 — AUSTRAC v Commonwealth Bank — one error, categorical liability</w:t>
      </w:r>
    </w:p>
    <w:p>
      <w:pPr>
        <w:spacing w:after="60" w:line="276"/>
      </w:pPr>
      <w:r>
        <w:rPr>
          <w:b/>
          <w:bCs/>
          <w:color w:val="57534A"/>
          <w:sz w:val="20"/>
          <w:szCs w:val="20"/>
        </w:rPr>
        <w:t xml:space="preserve">Session 4   ·   </w:t>
      </w:r>
      <w:r>
        <w:rPr>
          <w:color w:val="1B1A18"/>
          <w:sz w:val="20"/>
          <w:szCs w:val="20"/>
        </w:rPr>
        <w:t xml:space="preserve">consequence record</w:t>
      </w:r>
    </w:p>
    <w:p>
      <w:pPr>
        <w:pStyle w:val="Heading3"/>
        <w:spacing w:after="70" w:before="160"/>
      </w:pPr>
      <w:r>
        <w:rPr>
          <w:b/>
          <w:bCs/>
          <w:color w:val="57534A"/>
          <w:sz w:val="20"/>
          <w:szCs w:val="20"/>
        </w:rPr>
        <w:t xml:space="preserve">The facts</w:t>
      </w:r>
    </w:p>
    <w:p>
      <w:pPr>
        <w:spacing w:after="110" w:line="276"/>
      </w:pPr>
      <w:r>
        <w:rPr>
          <w:color w:val="1B1A18"/>
          <w:sz w:val="20"/>
          <w:szCs w:val="20"/>
        </w:rPr>
        <w:t xml:space="preserve">A coding error meant the bank failed to file 53,506 threshold-transaction reports on time (covering roughly A$625 million in transactions) over nearly three years. Australia’s financial-intelligence regulator brought civil proceedings; the bank agreed a A$700 million civil penalty, and the prudential regulator imposed a capital overlay following its inquiry.</w:t>
      </w:r>
    </w:p>
    <w:p>
      <w:pPr>
        <w:spacing w:after="120" w:before="30" w:line="264"/>
      </w:pPr>
      <w:r>
        <w:rPr>
          <w:b/>
          <w:bCs/>
          <w:color w:val="57534A"/>
          <w:sz w:val="17"/>
          <w:szCs w:val="17"/>
        </w:rPr>
        <w:t xml:space="preserve">Sources.  </w:t>
      </w:r>
      <w:r>
        <w:rPr>
          <w:i/>
          <w:iCs/>
          <w:color w:val="6E6A62"/>
          <w:sz w:val="17"/>
          <w:szCs w:val="17"/>
        </w:rPr>
        <w:t xml:space="preserve">AUSTRAC civil proceedings (filed 3 Aug 2017); A$700M penalty approved 4 Jun 2018; APRA Prudential Inquiry (2018).</w:t>
      </w:r>
    </w:p>
    <w:p>
      <w:pPr>
        <w:pStyle w:val="Heading3"/>
        <w:spacing w:after="70" w:before="160"/>
      </w:pPr>
      <w:r>
        <w:rPr>
          <w:b/>
          <w:bCs/>
          <w:color w:val="57534A"/>
          <w:sz w:val="20"/>
          <w:szCs w:val="20"/>
        </w:rPr>
        <w:t xml:space="preserve">The crossing &amp; the property</w:t>
      </w:r>
    </w:p>
    <w:p>
      <w:pPr>
        <w:spacing w:after="110" w:line="276"/>
      </w:pPr>
      <w:r>
        <w:rPr>
          <w:color w:val="1B1A18"/>
          <w:sz w:val="20"/>
          <w:szCs w:val="20"/>
        </w:rPr>
        <w:t xml:space="preserve">Execution coherence and accountability. A modal, non-negotiable reporting obligation was not enforced or evidenced by the structure — a single systems error became categorical liability.</w:t>
      </w:r>
    </w:p>
    <w:p>
      <w:pPr>
        <w:pStyle w:val="Heading3"/>
        <w:spacing w:after="70" w:before="160"/>
      </w:pPr>
      <w:r>
        <w:rPr>
          <w:b/>
          <w:bCs/>
          <w:color w:val="57534A"/>
          <w:sz w:val="20"/>
          <w:szCs w:val="20"/>
        </w:rPr>
        <w:t xml:space="preserve">Discussion questions</w:t>
      </w:r>
    </w:p>
    <w:p>
      <w:pPr>
        <w:spacing w:after="70" w:line="268"/>
        <w:ind w:left="380" w:hanging="260"/>
      </w:pPr>
      <w:r>
        <w:rPr>
          <w:b/>
          <w:bCs/>
          <w:color w:val="33302B"/>
          <w:sz w:val="20"/>
          <w:szCs w:val="20"/>
        </w:rPr>
        <w:t xml:space="preserve">1.  </w:t>
      </w:r>
      <w:r>
        <w:rPr>
          <w:color w:val="1B1A18"/>
          <w:sz w:val="20"/>
          <w:szCs w:val="20"/>
        </w:rPr>
        <w:t xml:space="preserve">Why does ‘it was one coding error’ carry no mitigating weight against a modal ‘must report’ obligation?</w:t>
      </w:r>
    </w:p>
    <w:p>
      <w:pPr>
        <w:spacing w:after="70" w:line="268"/>
        <w:ind w:left="380" w:hanging="260"/>
      </w:pPr>
      <w:r>
        <w:rPr>
          <w:b/>
          <w:bCs/>
          <w:color w:val="33302B"/>
          <w:sz w:val="20"/>
          <w:szCs w:val="20"/>
        </w:rPr>
        <w:t xml:space="preserve">2.  </w:t>
      </w:r>
      <w:r>
        <w:rPr>
          <w:color w:val="1B1A18"/>
          <w:sz w:val="20"/>
          <w:szCs w:val="20"/>
        </w:rPr>
        <w:t xml:space="preserve">What would evidence-by-construction have produced that reconstruction after the fact could not?</w:t>
      </w:r>
    </w:p>
    <w:p>
      <w:pPr>
        <w:spacing w:after="70" w:line="268"/>
        <w:ind w:left="380" w:hanging="260"/>
      </w:pPr>
      <w:r>
        <w:rPr>
          <w:b/>
          <w:bCs/>
          <w:color w:val="33302B"/>
          <w:sz w:val="20"/>
          <w:szCs w:val="20"/>
        </w:rPr>
        <w:t xml:space="preserve">3.  </w:t>
      </w:r>
      <w:r>
        <w:rPr>
          <w:color w:val="1B1A18"/>
          <w:sz w:val="20"/>
          <w:szCs w:val="20"/>
        </w:rPr>
        <w:t xml:space="preserve">Where in your firm does a single systems error map to categorical regulatory liability?</w:t>
      </w:r>
    </w:p>
    <w:p>
      <w:pPr>
        <w:pStyle w:val="Heading2"/>
        <w:spacing w:after="90" w:before="220"/>
      </w:pPr>
      <w:r>
        <w:rPr>
          <w:b/>
          <w:bCs/>
          <w:color w:val="1B1A18"/>
          <w:sz w:val="23"/>
          <w:szCs w:val="23"/>
        </w:rPr>
        <w:t xml:space="preserve">Teaching note — the board lesson</w:t>
      </w:r>
    </w:p>
    <w:p>
      <w:pPr>
        <w:spacing w:after="110" w:line="276"/>
      </w:pPr>
      <w:r>
        <w:rPr>
          <w:color w:val="1B1A18"/>
          <w:sz w:val="20"/>
          <w:szCs w:val="20"/>
        </w:rPr>
        <w:t xml:space="preserve">For a rule that says ‘must’ or ‘never’, 99.9% is not partial compliance — it is a measured violation. The obligation is structural, and the evidence must be a by-product of the transaction.</w:t>
      </w:r>
    </w:p>
    <w:p>
      <w:r>
        <w:br w:type="page"/>
      </w:r>
    </w:p>
    <w:p>
      <w:pPr>
        <w:pStyle w:val="Heading1"/>
        <w:spacing w:after="130" w:before="300"/>
      </w:pPr>
      <w:r>
        <w:rPr>
          <w:b/>
          <w:bCs/>
          <w:color w:val="33302B"/>
          <w:sz w:val="29"/>
          <w:szCs w:val="29"/>
        </w:rPr>
        <w:t xml:space="preserve">Case 5 — Citibank / Revlon — controls that depend on reading a screen</w:t>
      </w:r>
    </w:p>
    <w:p>
      <w:pPr>
        <w:spacing w:after="60" w:line="276"/>
      </w:pPr>
      <w:r>
        <w:rPr>
          <w:b/>
          <w:bCs/>
          <w:color w:val="57534A"/>
          <w:sz w:val="20"/>
          <w:szCs w:val="20"/>
        </w:rPr>
        <w:t xml:space="preserve">Session 4   ·   </w:t>
      </w:r>
      <w:r>
        <w:rPr>
          <w:color w:val="1B1A18"/>
          <w:sz w:val="20"/>
          <w:szCs w:val="20"/>
        </w:rPr>
        <w:t xml:space="preserve">consequence record</w:t>
      </w:r>
    </w:p>
    <w:p>
      <w:pPr>
        <w:pStyle w:val="Heading3"/>
        <w:spacing w:after="70" w:before="160"/>
      </w:pPr>
      <w:r>
        <w:rPr>
          <w:b/>
          <w:bCs/>
          <w:color w:val="57534A"/>
          <w:sz w:val="20"/>
          <w:szCs w:val="20"/>
        </w:rPr>
        <w:t xml:space="preserve">The facts</w:t>
      </w:r>
    </w:p>
    <w:p>
      <w:pPr>
        <w:spacing w:after="110" w:line="276"/>
      </w:pPr>
      <w:r>
        <w:rPr>
          <w:color w:val="1B1A18"/>
          <w:sz w:val="20"/>
          <w:szCs w:val="20"/>
        </w:rPr>
        <w:t xml:space="preserve">Intending to make an $7.8 million interest payment, Citibank accidentally wired about $893 million of its own funds to lenders. The mistake turned on a confusing internal interface and a control that required staff to correctly interpret which boxes to check to suppress a payment. Litigation over recovery followed; separately, the bank received a $400 million regulatory penalty for enterprise-wide risk-management and internal-control deficiencies.</w:t>
      </w:r>
    </w:p>
    <w:p>
      <w:pPr>
        <w:spacing w:after="120" w:before="30" w:line="264"/>
      </w:pPr>
      <w:r>
        <w:rPr>
          <w:b/>
          <w:bCs/>
          <w:color w:val="57534A"/>
          <w:sz w:val="17"/>
          <w:szCs w:val="17"/>
        </w:rPr>
        <w:t xml:space="preserve">Sources.  </w:t>
      </w:r>
      <w:r>
        <w:rPr>
          <w:i/>
          <w:iCs/>
          <w:color w:val="6E6A62"/>
          <w:sz w:val="17"/>
          <w:szCs w:val="17"/>
        </w:rPr>
        <w:t xml:space="preserve">In re Citibank August 11, 2020 Wire Transfers, 520 F. Supp. 3d 390 (S.D.N.Y. 2021), rev’d 49 F.4th 42 (2d Cir. 2022), dismissed Jan 2023; OCC civil money penalty (Oct 2020).</w:t>
      </w:r>
    </w:p>
    <w:p>
      <w:pPr>
        <w:pStyle w:val="Heading3"/>
        <w:spacing w:after="70" w:before="160"/>
      </w:pPr>
      <w:r>
        <w:rPr>
          <w:b/>
          <w:bCs/>
          <w:color w:val="57534A"/>
          <w:sz w:val="20"/>
          <w:szCs w:val="20"/>
        </w:rPr>
        <w:t xml:space="preserve">The crossing &amp; the property</w:t>
      </w:r>
    </w:p>
    <w:p>
      <w:pPr>
        <w:spacing w:after="110" w:line="276"/>
      </w:pPr>
      <w:r>
        <w:rPr>
          <w:color w:val="1B1A18"/>
          <w:sz w:val="20"/>
          <w:szCs w:val="20"/>
        </w:rPr>
        <w:t xml:space="preserve">Context and execution coherence. The meaning of the action and the control over it did not travel with the work to the boundary; the ‘control’ was a human reading a screen correctly.</w:t>
      </w:r>
    </w:p>
    <w:p>
      <w:pPr>
        <w:pStyle w:val="Heading3"/>
        <w:spacing w:after="70" w:before="160"/>
      </w:pPr>
      <w:r>
        <w:rPr>
          <w:b/>
          <w:bCs/>
          <w:color w:val="57534A"/>
          <w:sz w:val="20"/>
          <w:szCs w:val="20"/>
        </w:rPr>
        <w:t xml:space="preserve">Discussion questions</w:t>
      </w:r>
    </w:p>
    <w:p>
      <w:pPr>
        <w:spacing w:after="70" w:line="268"/>
        <w:ind w:left="380" w:hanging="260"/>
      </w:pPr>
      <w:r>
        <w:rPr>
          <w:b/>
          <w:bCs/>
          <w:color w:val="33302B"/>
          <w:sz w:val="20"/>
          <w:szCs w:val="20"/>
        </w:rPr>
        <w:t xml:space="preserve">1.  </w:t>
      </w:r>
      <w:r>
        <w:rPr>
          <w:color w:val="1B1A18"/>
          <w:sz w:val="20"/>
          <w:szCs w:val="20"/>
        </w:rPr>
        <w:t xml:space="preserve">Why is ‘a control that depends on a person interpreting an interface’ not really a control?</w:t>
      </w:r>
    </w:p>
    <w:p>
      <w:pPr>
        <w:spacing w:after="70" w:line="268"/>
        <w:ind w:left="380" w:hanging="260"/>
      </w:pPr>
      <w:r>
        <w:rPr>
          <w:b/>
          <w:bCs/>
          <w:color w:val="33302B"/>
          <w:sz w:val="20"/>
          <w:szCs w:val="20"/>
        </w:rPr>
        <w:t xml:space="preserve">2.  </w:t>
      </w:r>
      <w:r>
        <w:rPr>
          <w:color w:val="1B1A18"/>
          <w:sz w:val="20"/>
          <w:szCs w:val="20"/>
        </w:rPr>
        <w:t xml:space="preserve">Where would you place the structural gate that makes a near-billion-dollar erroneous transfer impossible, not merely unlikely?</w:t>
      </w:r>
    </w:p>
    <w:p>
      <w:pPr>
        <w:spacing w:after="70" w:line="268"/>
        <w:ind w:left="380" w:hanging="260"/>
      </w:pPr>
      <w:r>
        <w:rPr>
          <w:b/>
          <w:bCs/>
          <w:color w:val="33302B"/>
          <w:sz w:val="20"/>
          <w:szCs w:val="20"/>
        </w:rPr>
        <w:t xml:space="preserve">3.  </w:t>
      </w:r>
      <w:r>
        <w:rPr>
          <w:color w:val="1B1A18"/>
          <w:sz w:val="20"/>
          <w:szCs w:val="20"/>
        </w:rPr>
        <w:t xml:space="preserve">How many of your firm’s critical controls are, at bottom, someone reading a screen correctly?</w:t>
      </w:r>
    </w:p>
    <w:p>
      <w:pPr>
        <w:pStyle w:val="Heading2"/>
        <w:spacing w:after="90" w:before="220"/>
      </w:pPr>
      <w:r>
        <w:rPr>
          <w:b/>
          <w:bCs/>
          <w:color w:val="1B1A18"/>
          <w:sz w:val="23"/>
          <w:szCs w:val="23"/>
        </w:rPr>
        <w:t xml:space="preserve">Teaching note — the board lesson</w:t>
      </w:r>
    </w:p>
    <w:p>
      <w:pPr>
        <w:spacing w:after="110" w:line="276"/>
      </w:pPr>
      <w:r>
        <w:rPr>
          <w:color w:val="1B1A18"/>
          <w:sz w:val="20"/>
          <w:szCs w:val="20"/>
        </w:rPr>
        <w:t xml:space="preserve">Controls that rely on correct human interpretation at the moment of action hold only ‘usually’. The guarantee must be positional — enforced by the structure the payment passes through.</w:t>
      </w:r>
    </w:p>
    <w:p>
      <w:r>
        <w:br w:type="page"/>
      </w:r>
    </w:p>
    <w:p>
      <w:pPr>
        <w:pStyle w:val="Heading1"/>
        <w:spacing w:after="130" w:before="300"/>
      </w:pPr>
      <w:r>
        <w:rPr>
          <w:b/>
          <w:bCs/>
          <w:color w:val="33302B"/>
          <w:sz w:val="29"/>
          <w:szCs w:val="29"/>
        </w:rPr>
        <w:t xml:space="preserve">Case 6 — Schrems II — sovereignty as a load-bearing dependency</w:t>
      </w:r>
    </w:p>
    <w:p>
      <w:pPr>
        <w:spacing w:after="60" w:line="276"/>
      </w:pPr>
      <w:r>
        <w:rPr>
          <w:b/>
          <w:bCs/>
          <w:color w:val="57534A"/>
          <w:sz w:val="20"/>
          <w:szCs w:val="20"/>
        </w:rPr>
        <w:t xml:space="preserve">Session 5   ·   </w:t>
      </w:r>
      <w:r>
        <w:rPr>
          <w:color w:val="1B1A18"/>
          <w:sz w:val="20"/>
          <w:szCs w:val="20"/>
        </w:rPr>
        <w:t xml:space="preserve">consequence record</w:t>
      </w:r>
    </w:p>
    <w:p>
      <w:pPr>
        <w:pStyle w:val="Heading3"/>
        <w:spacing w:after="70" w:before="160"/>
      </w:pPr>
      <w:r>
        <w:rPr>
          <w:b/>
          <w:bCs/>
          <w:color w:val="57534A"/>
          <w:sz w:val="20"/>
          <w:szCs w:val="20"/>
        </w:rPr>
        <w:t xml:space="preserve">The facts</w:t>
      </w:r>
    </w:p>
    <w:p>
      <w:pPr>
        <w:spacing w:after="110" w:line="276"/>
      </w:pPr>
      <w:r>
        <w:rPr>
          <w:color w:val="1B1A18"/>
          <w:sz w:val="20"/>
          <w:szCs w:val="20"/>
        </w:rPr>
        <w:t xml:space="preserve">In 2020 the EU’s highest court invalidated the main legal framework for transferring personal data from the EU to the US. Roughly 5,300 organisations relied on it; overnight, their legal basis for a routine data flow evaporated. A successor framework was adopted in 2023 and immediately challenged. In sworn 2025 testimony to the French Senate, a major US provider’s representative could not guarantee that data would never be transferred out of the EU under foreign legal compulsion.</w:t>
      </w:r>
    </w:p>
    <w:p>
      <w:pPr>
        <w:spacing w:after="120" w:before="30" w:line="264"/>
      </w:pPr>
      <w:r>
        <w:rPr>
          <w:b/>
          <w:bCs/>
          <w:color w:val="57534A"/>
          <w:sz w:val="17"/>
          <w:szCs w:val="17"/>
        </w:rPr>
        <w:t xml:space="preserve">Sources.  </w:t>
      </w:r>
      <w:r>
        <w:rPr>
          <w:i/>
          <w:iCs/>
          <w:color w:val="6E6A62"/>
          <w:sz w:val="17"/>
          <w:szCs w:val="17"/>
        </w:rPr>
        <w:t xml:space="preserve">CJEU Case C-311/18, Data Protection Commissioner v Facebook Ireland and Schrems (16 Jul 2020); French Senate digital-sovereignty inquiry testimony (10 Jun 2025).</w:t>
      </w:r>
    </w:p>
    <w:p>
      <w:pPr>
        <w:pStyle w:val="Heading3"/>
        <w:spacing w:after="70" w:before="160"/>
      </w:pPr>
      <w:r>
        <w:rPr>
          <w:b/>
          <w:bCs/>
          <w:color w:val="57534A"/>
          <w:sz w:val="20"/>
          <w:szCs w:val="20"/>
        </w:rPr>
        <w:t xml:space="preserve">The crossing &amp; the property</w:t>
      </w:r>
    </w:p>
    <w:p>
      <w:pPr>
        <w:spacing w:after="110" w:line="276"/>
      </w:pPr>
      <w:r>
        <w:rPr>
          <w:color w:val="1B1A18"/>
          <w:sz w:val="20"/>
          <w:szCs w:val="20"/>
        </w:rPr>
        <w:t xml:space="preserve">Sovereignty as structure. A property (lawful operation) depended on a single jurisdictional arrangement the enterprise could not control — a dependency it could not say ‘no’ to.</w:t>
      </w:r>
    </w:p>
    <w:p>
      <w:pPr>
        <w:pStyle w:val="Heading3"/>
        <w:spacing w:after="70" w:before="160"/>
      </w:pPr>
      <w:r>
        <w:rPr>
          <w:b/>
          <w:bCs/>
          <w:color w:val="57534A"/>
          <w:sz w:val="20"/>
          <w:szCs w:val="20"/>
        </w:rPr>
        <w:t xml:space="preserve">Discussion questions</w:t>
      </w:r>
    </w:p>
    <w:p>
      <w:pPr>
        <w:spacing w:after="70" w:line="268"/>
        <w:ind w:left="380" w:hanging="260"/>
      </w:pPr>
      <w:r>
        <w:rPr>
          <w:b/>
          <w:bCs/>
          <w:color w:val="33302B"/>
          <w:sz w:val="20"/>
          <w:szCs w:val="20"/>
        </w:rPr>
        <w:t xml:space="preserve">1.  </w:t>
      </w:r>
      <w:r>
        <w:rPr>
          <w:color w:val="1B1A18"/>
          <w:sz w:val="20"/>
          <w:szCs w:val="20"/>
        </w:rPr>
        <w:t xml:space="preserve">Which of your firm’s operations depend on a legal or vendor arrangement a third party could change unilaterally?</w:t>
      </w:r>
    </w:p>
    <w:p>
      <w:pPr>
        <w:spacing w:after="70" w:line="268"/>
        <w:ind w:left="380" w:hanging="260"/>
      </w:pPr>
      <w:r>
        <w:rPr>
          <w:b/>
          <w:bCs/>
          <w:color w:val="33302B"/>
          <w:sz w:val="20"/>
          <w:szCs w:val="20"/>
        </w:rPr>
        <w:t xml:space="preserve">2.  </w:t>
      </w:r>
      <w:r>
        <w:rPr>
          <w:color w:val="1B1A18"/>
          <w:sz w:val="20"/>
          <w:szCs w:val="20"/>
        </w:rPr>
        <w:t xml:space="preserve">Run the substitution test on your largest cloud or model dependency: what is the cost of saying ‘no’?</w:t>
      </w:r>
    </w:p>
    <w:p>
      <w:pPr>
        <w:spacing w:after="70" w:line="268"/>
        <w:ind w:left="380" w:hanging="260"/>
      </w:pPr>
      <w:r>
        <w:rPr>
          <w:b/>
          <w:bCs/>
          <w:color w:val="33302B"/>
          <w:sz w:val="20"/>
          <w:szCs w:val="20"/>
        </w:rPr>
        <w:t xml:space="preserve">3.  </w:t>
      </w:r>
      <w:r>
        <w:rPr>
          <w:color w:val="1B1A18"/>
          <w:sz w:val="20"/>
          <w:szCs w:val="20"/>
        </w:rPr>
        <w:t xml:space="preserve">Is ‘we assume we cannot move’ an acceptable board position? If not, what is the plan?</w:t>
      </w:r>
    </w:p>
    <w:p>
      <w:pPr>
        <w:pStyle w:val="Heading2"/>
        <w:spacing w:after="90" w:before="220"/>
      </w:pPr>
      <w:r>
        <w:rPr>
          <w:b/>
          <w:bCs/>
          <w:color w:val="1B1A18"/>
          <w:sz w:val="23"/>
          <w:szCs w:val="23"/>
        </w:rPr>
        <w:t xml:space="preserve">Teaching note — the board lesson</w:t>
      </w:r>
    </w:p>
    <w:p>
      <w:pPr>
        <w:spacing w:after="110" w:line="276"/>
      </w:pPr>
      <w:r>
        <w:rPr>
          <w:color w:val="1B1A18"/>
          <w:sz w:val="20"/>
          <w:szCs w:val="20"/>
        </w:rPr>
        <w:t xml:space="preserve">Sovereignty is the ability to say no to any single party — vendor, provider, or jurisdiction. Where the honest answer is ‘we cannot’, that sovereignty is already lost, and the board should know it.</w:t>
      </w:r>
    </w:p>
    <w:p>
      <w:r>
        <w:br w:type="page"/>
      </w:r>
    </w:p>
    <w:p>
      <w:pPr>
        <w:pStyle w:val="Heading1"/>
        <w:spacing w:after="130" w:before="300"/>
      </w:pPr>
      <w:r>
        <w:rPr>
          <w:b/>
          <w:bCs/>
          <w:color w:val="33302B"/>
          <w:sz w:val="29"/>
          <w:szCs w:val="29"/>
        </w:rPr>
        <w:t xml:space="preserve">Case 7 — The tenancy breach &amp; prompt injection — isolation as construction</w:t>
      </w:r>
    </w:p>
    <w:p>
      <w:pPr>
        <w:spacing w:after="60" w:line="276"/>
      </w:pPr>
      <w:r>
        <w:rPr>
          <w:b/>
          <w:bCs/>
          <w:color w:val="57534A"/>
          <w:sz w:val="20"/>
          <w:szCs w:val="20"/>
        </w:rPr>
        <w:t xml:space="preserve">Session 6   ·   </w:t>
      </w:r>
      <w:r>
        <w:rPr>
          <w:color w:val="1B1A18"/>
          <w:sz w:val="20"/>
          <w:szCs w:val="20"/>
        </w:rPr>
        <w:t xml:space="preserve">consequence record</w:t>
      </w:r>
    </w:p>
    <w:p>
      <w:pPr>
        <w:pStyle w:val="Heading3"/>
        <w:spacing w:after="70" w:before="160"/>
      </w:pPr>
      <w:r>
        <w:rPr>
          <w:b/>
          <w:bCs/>
          <w:color w:val="57534A"/>
          <w:sz w:val="20"/>
          <w:szCs w:val="20"/>
        </w:rPr>
        <w:t xml:space="preserve">The facts</w:t>
      </w:r>
    </w:p>
    <w:p>
      <w:pPr>
        <w:spacing w:after="110" w:line="276"/>
      </w:pPr>
      <w:r>
        <w:rPr>
          <w:color w:val="1B1A18"/>
          <w:sz w:val="20"/>
          <w:szCs w:val="20"/>
        </w:rPr>
        <w:t xml:space="preserve">In March 2023 a widely used AI service exposed other users’ conversation titles and some payment-related details of about 1.2% of subscribers during a nine-hour window, due to a client-library bug; a national data-protection authority ordered the service suspended. More broadly, prompt injection ranks first on the OWASP risk list for LLM applications; documented 2024–25 incidents include a zero-click exfiltration flaw in a major workplace copilot (EchoLeak) and data exfiltration from a workplace assistant.</w:t>
      </w:r>
    </w:p>
    <w:p>
      <w:pPr>
        <w:spacing w:after="120" w:before="30" w:line="264"/>
      </w:pPr>
      <w:r>
        <w:rPr>
          <w:b/>
          <w:bCs/>
          <w:color w:val="57534A"/>
          <w:sz w:val="17"/>
          <w:szCs w:val="17"/>
        </w:rPr>
        <w:t xml:space="preserve">Sources.  </w:t>
      </w:r>
      <w:r>
        <w:rPr>
          <w:i/>
          <w:iCs/>
          <w:color w:val="6E6A62"/>
          <w:sz w:val="17"/>
          <w:szCs w:val="17"/>
        </w:rPr>
        <w:t xml:space="preserve">Operator post-mortem (24 Mar 2023); Garante suspension order (31 Mar 2023); OWASP Top 10 for LLM Applications (LLM01); EchoLeak CVE-2025-32711 (2025); PromptArmor disclosure (2024).</w:t>
      </w:r>
    </w:p>
    <w:p>
      <w:pPr>
        <w:pStyle w:val="Heading3"/>
        <w:spacing w:after="70" w:before="160"/>
      </w:pPr>
      <w:r>
        <w:rPr>
          <w:b/>
          <w:bCs/>
          <w:color w:val="57534A"/>
          <w:sz w:val="20"/>
          <w:szCs w:val="20"/>
        </w:rPr>
        <w:t xml:space="preserve">The crossing &amp; the property</w:t>
      </w:r>
    </w:p>
    <w:p>
      <w:pPr>
        <w:spacing w:after="110" w:line="276"/>
      </w:pPr>
      <w:r>
        <w:rPr>
          <w:color w:val="1B1A18"/>
          <w:sz w:val="20"/>
          <w:szCs w:val="20"/>
        </w:rPr>
        <w:t xml:space="preserve">Isolation and trust at the seams. A tenancy boundary that was assumed held only ‘usually’; untrusted input reached places it should never have influenced. Origin — where a fragment came from — was the missing dimension.</w:t>
      </w:r>
    </w:p>
    <w:p>
      <w:pPr>
        <w:pStyle w:val="Heading3"/>
        <w:spacing w:after="70" w:before="160"/>
      </w:pPr>
      <w:r>
        <w:rPr>
          <w:b/>
          <w:bCs/>
          <w:color w:val="57534A"/>
          <w:sz w:val="20"/>
          <w:szCs w:val="20"/>
        </w:rPr>
        <w:t xml:space="preserve">Discussion questions</w:t>
      </w:r>
    </w:p>
    <w:p>
      <w:pPr>
        <w:spacing w:after="70" w:line="268"/>
        <w:ind w:left="380" w:hanging="260"/>
      </w:pPr>
      <w:r>
        <w:rPr>
          <w:b/>
          <w:bCs/>
          <w:color w:val="33302B"/>
          <w:sz w:val="20"/>
          <w:szCs w:val="20"/>
        </w:rPr>
        <w:t xml:space="preserve">1.  </w:t>
      </w:r>
      <w:r>
        <w:rPr>
          <w:color w:val="1B1A18"/>
          <w:sz w:val="20"/>
          <w:szCs w:val="20"/>
        </w:rPr>
        <w:t xml:space="preserve">For one AI system you run, could an engineer write the statement that would cross a tenant boundary? What does that tell you?</w:t>
      </w:r>
    </w:p>
    <w:p>
      <w:pPr>
        <w:spacing w:after="70" w:line="268"/>
        <w:ind w:left="380" w:hanging="260"/>
      </w:pPr>
      <w:r>
        <w:rPr>
          <w:b/>
          <w:bCs/>
          <w:color w:val="33302B"/>
          <w:sz w:val="20"/>
          <w:szCs w:val="20"/>
        </w:rPr>
        <w:t xml:space="preserve">2.  </w:t>
      </w:r>
      <w:r>
        <w:rPr>
          <w:color w:val="1B1A18"/>
          <w:sz w:val="20"/>
          <w:szCs w:val="20"/>
        </w:rPr>
        <w:t xml:space="preserve">What untrusted input reaches your agents, and what is it currently permitted to influence?</w:t>
      </w:r>
    </w:p>
    <w:p>
      <w:pPr>
        <w:spacing w:after="70" w:line="268"/>
        <w:ind w:left="380" w:hanging="260"/>
      </w:pPr>
      <w:r>
        <w:rPr>
          <w:b/>
          <w:bCs/>
          <w:color w:val="33302B"/>
          <w:sz w:val="20"/>
          <w:szCs w:val="20"/>
        </w:rPr>
        <w:t xml:space="preserve">3.  </w:t>
      </w:r>
      <w:r>
        <w:rPr>
          <w:color w:val="1B1A18"/>
          <w:sz w:val="20"/>
          <w:szCs w:val="20"/>
        </w:rPr>
        <w:t xml:space="preserve">Is your isolation a policy people follow, or a property the structure enforces?</w:t>
      </w:r>
    </w:p>
    <w:p>
      <w:pPr>
        <w:pStyle w:val="Heading2"/>
        <w:spacing w:after="90" w:before="220"/>
      </w:pPr>
      <w:r>
        <w:rPr>
          <w:b/>
          <w:bCs/>
          <w:color w:val="1B1A18"/>
          <w:sz w:val="23"/>
          <w:szCs w:val="23"/>
        </w:rPr>
        <w:t xml:space="preserve">Teaching note — the board lesson</w:t>
      </w:r>
    </w:p>
    <w:p>
      <w:pPr>
        <w:spacing w:after="110" w:line="276"/>
      </w:pPr>
      <w:r>
        <w:rPr>
          <w:color w:val="1B1A18"/>
          <w:sz w:val="20"/>
          <w:szCs w:val="20"/>
        </w:rPr>
        <w:t xml:space="preserve">Isolation that is merely instructed holds until a crafted input; isolation by construction makes the crossing unexpressable. Prompt injection is a governance risk, not a bug to be patched away.</w:t>
      </w:r>
    </w:p>
    <w:p>
      <w:r>
        <w:br w:type="page"/>
      </w:r>
    </w:p>
    <w:p>
      <w:pPr>
        <w:pStyle w:val="Heading1"/>
        <w:spacing w:after="130" w:before="300"/>
      </w:pPr>
      <w:r>
        <w:rPr>
          <w:b/>
          <w:bCs/>
          <w:color w:val="33302B"/>
          <w:sz w:val="29"/>
          <w:szCs w:val="29"/>
        </w:rPr>
        <w:t xml:space="preserve">Case 8 — Post Office / Horizon — governance that did not survive volume</w:t>
      </w:r>
    </w:p>
    <w:p>
      <w:pPr>
        <w:spacing w:after="60" w:line="276"/>
      </w:pPr>
      <w:r>
        <w:rPr>
          <w:b/>
          <w:bCs/>
          <w:color w:val="57534A"/>
          <w:sz w:val="20"/>
          <w:szCs w:val="20"/>
        </w:rPr>
        <w:t xml:space="preserve">Session 7   ·   </w:t>
      </w:r>
      <w:r>
        <w:rPr>
          <w:color w:val="1B1A18"/>
          <w:sz w:val="20"/>
          <w:szCs w:val="20"/>
        </w:rPr>
        <w:t xml:space="preserve">consequence record</w:t>
      </w:r>
    </w:p>
    <w:p>
      <w:pPr>
        <w:pStyle w:val="Heading3"/>
        <w:spacing w:after="70" w:before="160"/>
      </w:pPr>
      <w:r>
        <w:rPr>
          <w:b/>
          <w:bCs/>
          <w:color w:val="57534A"/>
          <w:sz w:val="20"/>
          <w:szCs w:val="20"/>
        </w:rPr>
        <w:t xml:space="preserve">The facts</w:t>
      </w:r>
    </w:p>
    <w:p>
      <w:pPr>
        <w:spacing w:after="110" w:line="276"/>
      </w:pPr>
      <w:r>
        <w:rPr>
          <w:color w:val="1B1A18"/>
          <w:sz w:val="20"/>
          <w:szCs w:val="20"/>
        </w:rPr>
        <w:t xml:space="preserve">For over a decade, the UK Post Office treated its Horizon accounting system’s figures as ground truth and prosecuted subpostmasters for shortfalls the system itself had generated. More than 900 people were prosecuted between 1999 and 2015 and 236 were imprisoned. Convictions were later quashed — 39 by the Court of Appeal in 2021, then wholesale by statute in 2024 — and redress of roughly £1.6 billion has been paid to more than 12,900 claimants. It is widely regarded as one of the gravest miscarriages of justice in British history.</w:t>
      </w:r>
    </w:p>
    <w:p>
      <w:pPr>
        <w:spacing w:after="120" w:before="30" w:line="264"/>
      </w:pPr>
      <w:r>
        <w:rPr>
          <w:b/>
          <w:bCs/>
          <w:color w:val="57534A"/>
          <w:sz w:val="17"/>
          <w:szCs w:val="17"/>
        </w:rPr>
        <w:t xml:space="preserve">Sources.  </w:t>
      </w:r>
      <w:r>
        <w:rPr>
          <w:i/>
          <w:iCs/>
          <w:color w:val="6E6A62"/>
          <w:sz w:val="17"/>
          <w:szCs w:val="17"/>
        </w:rPr>
        <w:t xml:space="preserve">Hamilton &amp; Others v Post Office Ltd [2021] EWCA Crim 577; Post Office (Horizon System) Offences Act 2024; Post Office Horizon IT Inquiry (Sir Wyn Williams, 2025); DBT redress data (Jun 2026).</w:t>
      </w:r>
    </w:p>
    <w:p>
      <w:pPr>
        <w:pStyle w:val="Heading3"/>
        <w:spacing w:after="70" w:before="160"/>
      </w:pPr>
      <w:r>
        <w:rPr>
          <w:b/>
          <w:bCs/>
          <w:color w:val="57534A"/>
          <w:sz w:val="20"/>
          <w:szCs w:val="20"/>
        </w:rPr>
        <w:t xml:space="preserve">The crossing &amp; the property</w:t>
      </w:r>
    </w:p>
    <w:p>
      <w:pPr>
        <w:spacing w:after="110" w:line="276"/>
      </w:pPr>
      <w:r>
        <w:rPr>
          <w:color w:val="1B1A18"/>
          <w:sz w:val="20"/>
          <w:szCs w:val="20"/>
        </w:rPr>
        <w:t xml:space="preserve">Accountability, execution coherence, and institutional memory. System output was treated as unimpeachable evidence at volume, with no independently trustworthy record behind it.</w:t>
      </w:r>
    </w:p>
    <w:p>
      <w:pPr>
        <w:pStyle w:val="Heading3"/>
        <w:spacing w:after="70" w:before="160"/>
      </w:pPr>
      <w:r>
        <w:rPr>
          <w:b/>
          <w:bCs/>
          <w:color w:val="57534A"/>
          <w:sz w:val="20"/>
          <w:szCs w:val="20"/>
        </w:rPr>
        <w:t xml:space="preserve">Discussion questions</w:t>
      </w:r>
    </w:p>
    <w:p>
      <w:pPr>
        <w:spacing w:after="70" w:line="268"/>
        <w:ind w:left="380" w:hanging="260"/>
      </w:pPr>
      <w:r>
        <w:rPr>
          <w:b/>
          <w:bCs/>
          <w:color w:val="33302B"/>
          <w:sz w:val="20"/>
          <w:szCs w:val="20"/>
        </w:rPr>
        <w:t xml:space="preserve">1.  </w:t>
      </w:r>
      <w:r>
        <w:rPr>
          <w:color w:val="1B1A18"/>
          <w:sz w:val="20"/>
          <w:szCs w:val="20"/>
        </w:rPr>
        <w:t xml:space="preserve">What allowed an organisation to believe its own system’s evidence over hundreds of its own people, for years?</w:t>
      </w:r>
    </w:p>
    <w:p>
      <w:pPr>
        <w:spacing w:after="70" w:line="268"/>
        <w:ind w:left="380" w:hanging="260"/>
      </w:pPr>
      <w:r>
        <w:rPr>
          <w:b/>
          <w:bCs/>
          <w:color w:val="33302B"/>
          <w:sz w:val="20"/>
          <w:szCs w:val="20"/>
        </w:rPr>
        <w:t xml:space="preserve">2.  </w:t>
      </w:r>
      <w:r>
        <w:rPr>
          <w:color w:val="1B1A18"/>
          <w:sz w:val="20"/>
          <w:szCs w:val="20"/>
        </w:rPr>
        <w:t xml:space="preserve">Where does your firm treat a system’s output as ground truth without independent, trustworthy evidence?</w:t>
      </w:r>
    </w:p>
    <w:p>
      <w:pPr>
        <w:spacing w:after="70" w:line="268"/>
        <w:ind w:left="380" w:hanging="260"/>
      </w:pPr>
      <w:r>
        <w:rPr>
          <w:b/>
          <w:bCs/>
          <w:color w:val="33302B"/>
          <w:sz w:val="20"/>
          <w:szCs w:val="20"/>
        </w:rPr>
        <w:t xml:space="preserve">3.  </w:t>
      </w:r>
      <w:r>
        <w:rPr>
          <w:color w:val="1B1A18"/>
          <w:sz w:val="20"/>
          <w:szCs w:val="20"/>
        </w:rPr>
        <w:t xml:space="preserve">This required no AI. What does that tell you about the risk of scaling unaccountable machine decisions?</w:t>
      </w:r>
    </w:p>
    <w:p>
      <w:pPr>
        <w:pStyle w:val="Heading2"/>
        <w:spacing w:after="90" w:before="220"/>
      </w:pPr>
      <w:r>
        <w:rPr>
          <w:b/>
          <w:bCs/>
          <w:color w:val="1B1A18"/>
          <w:sz w:val="23"/>
          <w:szCs w:val="23"/>
        </w:rPr>
        <w:t xml:space="preserve">Teaching note — the board lesson</w:t>
      </w:r>
    </w:p>
    <w:p>
      <w:pPr>
        <w:spacing w:after="110" w:line="276"/>
      </w:pPr>
      <w:r>
        <w:rPr>
          <w:color w:val="1B1A18"/>
          <w:sz w:val="20"/>
          <w:szCs w:val="20"/>
        </w:rPr>
        <w:t xml:space="preserve">Governance built for human-scale transaction counts fails catastrophically at volume when system evidence is trusted without construction. A record that cannot be independently trusted is testimony wearing evidence’s clothes.</w:t>
      </w:r>
    </w:p>
    <w:p>
      <w:r>
        <w:br w:type="page"/>
      </w:r>
    </w:p>
    <w:p>
      <w:pPr>
        <w:pStyle w:val="Heading1"/>
        <w:spacing w:after="130" w:before="300"/>
      </w:pPr>
      <w:r>
        <w:rPr>
          <w:b/>
          <w:bCs/>
          <w:color w:val="33302B"/>
          <w:sz w:val="29"/>
          <w:szCs w:val="29"/>
        </w:rPr>
        <w:t xml:space="preserve">Case 9 — Uber’s AI-coding overrun — the meter and the ledger</w:t>
      </w:r>
    </w:p>
    <w:p>
      <w:pPr>
        <w:spacing w:after="60" w:line="276"/>
      </w:pPr>
      <w:r>
        <w:rPr>
          <w:b/>
          <w:bCs/>
          <w:color w:val="57534A"/>
          <w:sz w:val="20"/>
          <w:szCs w:val="20"/>
        </w:rPr>
        <w:t xml:space="preserve">Session 8   ·   </w:t>
      </w:r>
      <w:r>
        <w:rPr>
          <w:color w:val="1B1A18"/>
          <w:sz w:val="20"/>
          <w:szCs w:val="20"/>
        </w:rPr>
        <w:t xml:space="preserve">consequence record</w:t>
      </w:r>
    </w:p>
    <w:p>
      <w:pPr>
        <w:pStyle w:val="Heading3"/>
        <w:spacing w:after="70" w:before="160"/>
      </w:pPr>
      <w:r>
        <w:rPr>
          <w:b/>
          <w:bCs/>
          <w:color w:val="57534A"/>
          <w:sz w:val="20"/>
          <w:szCs w:val="20"/>
        </w:rPr>
        <w:t xml:space="preserve">The facts</w:t>
      </w:r>
    </w:p>
    <w:p>
      <w:pPr>
        <w:spacing w:after="110" w:line="276"/>
      </w:pPr>
      <w:r>
        <w:rPr>
          <w:color w:val="1B1A18"/>
          <w:sz w:val="20"/>
          <w:szCs w:val="20"/>
        </w:rPr>
        <w:t xml:space="preserve">In early 2026, adoption of AI coding tools across Uber’s roughly 5,000 engineers jumped from about a third to over four-fifths in a single month. A full-year AI-coding budget was exhausted within roughly a quarter, with per-engineer costs running $500–$2,000 a month. The president/COO, interviewed later, said he could not link the spend to features shipped. Across the industry, the share of practitioners managing AI spend rose from 31% (2024) to 63% (2025) to 98% (2026), and at least one vendor renewal repriced 4–5×.</w:t>
      </w:r>
    </w:p>
    <w:p>
      <w:pPr>
        <w:spacing w:after="120" w:before="30" w:line="264"/>
      </w:pPr>
      <w:r>
        <w:rPr>
          <w:b/>
          <w:bCs/>
          <w:color w:val="57534A"/>
          <w:sz w:val="17"/>
          <w:szCs w:val="17"/>
        </w:rPr>
        <w:t xml:space="preserve">Sources.  </w:t>
      </w:r>
      <w:r>
        <w:rPr>
          <w:i/>
          <w:iCs/>
          <w:color w:val="6E6A62"/>
          <w:sz w:val="17"/>
          <w:szCs w:val="17"/>
        </w:rPr>
        <w:t xml:space="preserve">The Information (Apr 2026); Fortune interview with COO Andrew Macdonald (26 May 2026); FinOps Foundation, State of FinOps 2026; TechCrunch (Jun 2026).</w:t>
      </w:r>
    </w:p>
    <w:p>
      <w:pPr>
        <w:pStyle w:val="Heading3"/>
        <w:spacing w:after="70" w:before="160"/>
      </w:pPr>
      <w:r>
        <w:rPr>
          <w:b/>
          <w:bCs/>
          <w:color w:val="57534A"/>
          <w:sz w:val="20"/>
          <w:szCs w:val="20"/>
        </w:rPr>
        <w:t xml:space="preserve">The crossing &amp; the property</w:t>
      </w:r>
    </w:p>
    <w:p>
      <w:pPr>
        <w:spacing w:after="110" w:line="276"/>
      </w:pPr>
      <w:r>
        <w:rPr>
          <w:color w:val="1B1A18"/>
          <w:sz w:val="20"/>
          <w:szCs w:val="20"/>
        </w:rPr>
        <w:t xml:space="preserve">The meter and the ledger — cost and accountability are the same problem. Without per-action consumption and attribution, spend cannot be governed or tied to value.</w:t>
      </w:r>
    </w:p>
    <w:p>
      <w:pPr>
        <w:pStyle w:val="Heading3"/>
        <w:spacing w:after="70" w:before="160"/>
      </w:pPr>
      <w:r>
        <w:rPr>
          <w:b/>
          <w:bCs/>
          <w:color w:val="57534A"/>
          <w:sz w:val="20"/>
          <w:szCs w:val="20"/>
        </w:rPr>
        <w:t xml:space="preserve">Discussion questions</w:t>
      </w:r>
    </w:p>
    <w:p>
      <w:pPr>
        <w:spacing w:after="70" w:line="268"/>
        <w:ind w:left="380" w:hanging="260"/>
      </w:pPr>
      <w:r>
        <w:rPr>
          <w:b/>
          <w:bCs/>
          <w:color w:val="33302B"/>
          <w:sz w:val="20"/>
          <w:szCs w:val="20"/>
        </w:rPr>
        <w:t xml:space="preserve">1.  </w:t>
      </w:r>
      <w:r>
        <w:rPr>
          <w:color w:val="1B1A18"/>
          <w:sz w:val="20"/>
          <w:szCs w:val="20"/>
        </w:rPr>
        <w:t xml:space="preserve">Could your firm produce a ‘two-invoices’ statement — cost and consumption per action — for one agent, one month?</w:t>
      </w:r>
    </w:p>
    <w:p>
      <w:pPr>
        <w:spacing w:after="70" w:line="268"/>
        <w:ind w:left="380" w:hanging="260"/>
      </w:pPr>
      <w:r>
        <w:rPr>
          <w:b/>
          <w:bCs/>
          <w:color w:val="33302B"/>
          <w:sz w:val="20"/>
          <w:szCs w:val="20"/>
        </w:rPr>
        <w:t xml:space="preserve">2.  </w:t>
      </w:r>
      <w:r>
        <w:rPr>
          <w:color w:val="1B1A18"/>
          <w:sz w:val="20"/>
          <w:szCs w:val="20"/>
        </w:rPr>
        <w:t xml:space="preserve">What is your exposure to a 4–5× renewal repricing by a single provider?</w:t>
      </w:r>
    </w:p>
    <w:p>
      <w:pPr>
        <w:spacing w:after="70" w:line="268"/>
        <w:ind w:left="380" w:hanging="260"/>
      </w:pPr>
      <w:r>
        <w:rPr>
          <w:b/>
          <w:bCs/>
          <w:color w:val="33302B"/>
          <w:sz w:val="20"/>
          <w:szCs w:val="20"/>
        </w:rPr>
        <w:t xml:space="preserve">3.  </w:t>
      </w:r>
      <w:r>
        <w:rPr>
          <w:color w:val="1B1A18"/>
          <w:sz w:val="20"/>
          <w:szCs w:val="20"/>
        </w:rPr>
        <w:t xml:space="preserve">How would you connect an agent’s cost to the decisions or features it actually served?</w:t>
      </w:r>
    </w:p>
    <w:p>
      <w:pPr>
        <w:pStyle w:val="Heading2"/>
        <w:spacing w:after="90" w:before="220"/>
      </w:pPr>
      <w:r>
        <w:rPr>
          <w:b/>
          <w:bCs/>
          <w:color w:val="1B1A18"/>
          <w:sz w:val="23"/>
          <w:szCs w:val="23"/>
        </w:rPr>
        <w:t xml:space="preserve">Teaching note — the board lesson</w:t>
      </w:r>
    </w:p>
    <w:p>
      <w:pPr>
        <w:spacing w:after="110" w:line="276"/>
      </w:pPr>
      <w:r>
        <w:rPr>
          <w:color w:val="1B1A18"/>
          <w:sz w:val="20"/>
          <w:szCs w:val="20"/>
        </w:rPr>
        <w:t xml:space="preserve">If you cannot state cost and value per action, you are absorbing AI spend, not governing it. The meter (what it cost) and the ledger (what it was for) must be by-products of execution.</w:t>
      </w:r>
    </w:p>
    <w:p>
      <w:r>
        <w:br w:type="page"/>
      </w:r>
    </w:p>
    <w:p>
      <w:pPr>
        <w:pStyle w:val="Heading1"/>
        <w:spacing w:after="130" w:before="300"/>
      </w:pPr>
      <w:r>
        <w:rPr>
          <w:b/>
          <w:bCs/>
          <w:color w:val="33302B"/>
          <w:sz w:val="29"/>
          <w:szCs w:val="29"/>
        </w:rPr>
        <w:t xml:space="preserve">Case 10 — CrowdStrike outage — a party cannot be its own referee</w:t>
      </w:r>
    </w:p>
    <w:p>
      <w:pPr>
        <w:spacing w:after="60" w:line="276"/>
      </w:pPr>
      <w:r>
        <w:rPr>
          <w:b/>
          <w:bCs/>
          <w:color w:val="57534A"/>
          <w:sz w:val="20"/>
          <w:szCs w:val="20"/>
        </w:rPr>
        <w:t xml:space="preserve">Session 9   ·   </w:t>
      </w:r>
      <w:r>
        <w:rPr>
          <w:color w:val="1B1A18"/>
          <w:sz w:val="20"/>
          <w:szCs w:val="20"/>
        </w:rPr>
        <w:t xml:space="preserve">consequence record</w:t>
      </w:r>
    </w:p>
    <w:p>
      <w:pPr>
        <w:pStyle w:val="Heading3"/>
        <w:spacing w:after="70" w:before="160"/>
      </w:pPr>
      <w:r>
        <w:rPr>
          <w:b/>
          <w:bCs/>
          <w:color w:val="57534A"/>
          <w:sz w:val="20"/>
          <w:szCs w:val="20"/>
        </w:rPr>
        <w:t xml:space="preserve">The facts</w:t>
      </w:r>
    </w:p>
    <w:p>
      <w:pPr>
        <w:spacing w:after="110" w:line="276"/>
      </w:pPr>
      <w:r>
        <w:rPr>
          <w:color w:val="1B1A18"/>
          <w:sz w:val="20"/>
          <w:szCs w:val="20"/>
        </w:rPr>
        <w:t xml:space="preserve">In July 2024, a routine content update from a security vendor carried one more data field than its sensor expected, crashing an estimated 8.5 million Windows devices worldwide. A corrected file shipped 79 minutes later — far too late to prevent global disruption. Analysts put Fortune-500 losses around $5.4 billion (healthcare ~$1.94B, banking ~$1.15B); one airline alone cancelled roughly 7,000 flights over five days.</w:t>
      </w:r>
    </w:p>
    <w:p>
      <w:pPr>
        <w:spacing w:after="120" w:before="30" w:line="264"/>
      </w:pPr>
      <w:r>
        <w:rPr>
          <w:b/>
          <w:bCs/>
          <w:color w:val="57534A"/>
          <w:sz w:val="17"/>
          <w:szCs w:val="17"/>
        </w:rPr>
        <w:t xml:space="preserve">Sources.  </w:t>
      </w:r>
      <w:r>
        <w:rPr>
          <w:i/>
          <w:iCs/>
          <w:color w:val="6E6A62"/>
          <w:sz w:val="17"/>
          <w:szCs w:val="17"/>
        </w:rPr>
        <w:t xml:space="preserve">CrowdStrike preliminary post-incident review (2024); Microsoft device estimate; Parametrix loss analysis (Jul 2024); Delta Air Lines SEC filing (Aug 2024).</w:t>
      </w:r>
    </w:p>
    <w:p>
      <w:pPr>
        <w:pStyle w:val="Heading3"/>
        <w:spacing w:after="70" w:before="160"/>
      </w:pPr>
      <w:r>
        <w:rPr>
          <w:b/>
          <w:bCs/>
          <w:color w:val="57534A"/>
          <w:sz w:val="20"/>
          <w:szCs w:val="20"/>
        </w:rPr>
        <w:t xml:space="preserve">The crossing &amp; the property</w:t>
      </w:r>
    </w:p>
    <w:p>
      <w:pPr>
        <w:spacing w:after="110" w:line="276"/>
      </w:pPr>
      <w:r>
        <w:rPr>
          <w:color w:val="1B1A18"/>
          <w:sz w:val="20"/>
          <w:szCs w:val="20"/>
        </w:rPr>
        <w:t xml:space="preserve">Execution coherence and infrastructure neutrality. A single update path, trusted implicitly and everywhere, failed everywhere at once — a concentration risk in the layer beneath the applications.</w:t>
      </w:r>
    </w:p>
    <w:p>
      <w:pPr>
        <w:pStyle w:val="Heading3"/>
        <w:spacing w:after="70" w:before="160"/>
      </w:pPr>
      <w:r>
        <w:rPr>
          <w:b/>
          <w:bCs/>
          <w:color w:val="57534A"/>
          <w:sz w:val="20"/>
          <w:szCs w:val="20"/>
        </w:rPr>
        <w:t xml:space="preserve">Discussion questions</w:t>
      </w:r>
    </w:p>
    <w:p>
      <w:pPr>
        <w:spacing w:after="70" w:line="268"/>
        <w:ind w:left="380" w:hanging="260"/>
      </w:pPr>
      <w:r>
        <w:rPr>
          <w:b/>
          <w:bCs/>
          <w:color w:val="33302B"/>
          <w:sz w:val="20"/>
          <w:szCs w:val="20"/>
        </w:rPr>
        <w:t xml:space="preserve">1.  </w:t>
      </w:r>
      <w:r>
        <w:rPr>
          <w:color w:val="1B1A18"/>
          <w:sz w:val="20"/>
          <w:szCs w:val="20"/>
        </w:rPr>
        <w:t xml:space="preserve">Who, today, can change your enterprise’s behaviour everywhere at once — and should anyone be able to?</w:t>
      </w:r>
    </w:p>
    <w:p>
      <w:pPr>
        <w:spacing w:after="70" w:line="268"/>
        <w:ind w:left="380" w:hanging="260"/>
      </w:pPr>
      <w:r>
        <w:rPr>
          <w:b/>
          <w:bCs/>
          <w:color w:val="33302B"/>
          <w:sz w:val="20"/>
          <w:szCs w:val="20"/>
        </w:rPr>
        <w:t xml:space="preserve">2.  </w:t>
      </w:r>
      <w:r>
        <w:rPr>
          <w:color w:val="1B1A18"/>
          <w:sz w:val="20"/>
          <w:szCs w:val="20"/>
        </w:rPr>
        <w:t xml:space="preserve">How would neutral, replaceable infrastructure have contained the blast radius?</w:t>
      </w:r>
    </w:p>
    <w:p>
      <w:pPr>
        <w:spacing w:after="70" w:line="268"/>
        <w:ind w:left="380" w:hanging="260"/>
      </w:pPr>
      <w:r>
        <w:rPr>
          <w:b/>
          <w:bCs/>
          <w:color w:val="33302B"/>
          <w:sz w:val="20"/>
          <w:szCs w:val="20"/>
        </w:rPr>
        <w:t xml:space="preserve">3.  </w:t>
      </w:r>
      <w:r>
        <w:rPr>
          <w:color w:val="1B1A18"/>
          <w:sz w:val="20"/>
          <w:szCs w:val="20"/>
        </w:rPr>
        <w:t xml:space="preserve">Where are you trusting a single vendor’s update path as if it could not fail?</w:t>
      </w:r>
    </w:p>
    <w:p>
      <w:pPr>
        <w:pStyle w:val="Heading2"/>
        <w:spacing w:after="90" w:before="220"/>
      </w:pPr>
      <w:r>
        <w:rPr>
          <w:b/>
          <w:bCs/>
          <w:color w:val="1B1A18"/>
          <w:sz w:val="23"/>
          <w:szCs w:val="23"/>
        </w:rPr>
        <w:t xml:space="preserve">Teaching note — the board lesson</w:t>
      </w:r>
    </w:p>
    <w:p>
      <w:pPr>
        <w:spacing w:after="110" w:line="276"/>
      </w:pPr>
      <w:r>
        <w:rPr>
          <w:color w:val="1B1A18"/>
          <w:sz w:val="20"/>
          <w:szCs w:val="20"/>
        </w:rPr>
        <w:t xml:space="preserve">Concentration in the layer that holds the crossings is systemic risk. Whatever holds the invariants must be neutral and built from replaceable parts — a party cannot be its own referee.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9" w:sz="6"/>
      </w:pBdr>
      <w:spacing w:before="60"/>
      <w:jc w:val="center"/>
    </w:pPr>
    <w:r>
      <w:rPr>
        <w:color w:val="6E6A62"/>
        <w:sz w:val="16"/>
        <w:szCs w:val="16"/>
      </w:rPr>
      <w:t xml:space="preserve">MBA / Exec — Governing the Agentic Enterprise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9" w:sz="6"/>
      </w:pBdr>
      <w:spacing w:after="60"/>
      <w:jc w:val="right"/>
    </w:pPr>
    <w:r>
      <w:rPr>
        <w:caps/>
        <w:color w:val="6E6A62"/>
        <w:sz w:val="16"/>
        <w:szCs w:val="16"/>
      </w:rPr>
      <w:t xml:space="preserve">Teaching Case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3302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 w:type="paragraph" w:styleId="Heading3">
    <w:name w:val="Heading 3"/>
    <w:basedOn w:val="Normal"/>
    <w:next w:val="Normal"/>
    <w:qFormat/>
    <w:rPr>
      <w:rFonts w:ascii="Georgia" w:cs="Georgia" w:eastAsia="Georgia" w:hAnsi="Georgia"/>
      <w:b/>
      <w:bCs/>
      <w:color w:val="5753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MBA Teaching Case Pack</dc:title>
  <dc:creator>MudoZangl — MBA course materials</dc:creator>
  <cp:lastModifiedBy>Un-named</cp:lastModifiedBy>
  <cp:revision>1</cp:revision>
  <dcterms:created xsi:type="dcterms:W3CDTF">2026-08-16T06:10:09.690Z</dcterms:created>
  <dcterms:modified xsi:type="dcterms:W3CDTF">2026-08-16T06:10:09.690Z</dcterms:modified>
</cp:coreProperties>
</file>

<file path=docProps/custom.xml><?xml version="1.0" encoding="utf-8"?>
<Properties xmlns="http://schemas.openxmlformats.org/officeDocument/2006/custom-properties" xmlns:vt="http://schemas.openxmlformats.org/officeDocument/2006/docPropsVTypes"/>
</file>