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aps/>
          <w:color w:val="33302B"/>
          <w:spacing w:val="40"/>
          <w:sz w:val="21"/>
          <w:szCs w:val="21"/>
        </w:rPr>
        <w:t xml:space="preserve">MBA / Executive Education · Elective</w:t>
      </w:r>
    </w:p>
    <w:p>
      <w:pPr>
        <w:pBdr>
          <w:bottom w:val="single" w:color="33302B" w:sz="12"/>
        </w:pBdr>
        <w:spacing w:after="120"/>
        <w:jc w:val="center"/>
      </w:pPr>
      <w:r>
        <w:rPr>
          <w:b/>
          <w:bCs/>
          <w:color w:val="1B1A18"/>
          <w:sz w:val="45"/>
          <w:szCs w:val="45"/>
        </w:rPr>
        <w:t xml:space="preserve">Governing the Agentic Enterprise</w:t>
      </w:r>
    </w:p>
    <w:p>
      <w:pPr>
        <w:spacing w:after="60" w:before="140"/>
        <w:jc w:val="center"/>
      </w:pPr>
      <w:r>
        <w:rPr>
          <w:i/>
          <w:iCs/>
          <w:color w:val="6E6A62"/>
          <w:sz w:val="23"/>
          <w:szCs w:val="23"/>
        </w:rPr>
        <w:t xml:space="preserve">Accountability, Sovereignty, and Cost When Machines Join the Workforce</w:t>
      </w:r>
    </w:p>
    <w:p>
      <w:pPr>
        <w:spacing w:after="40" w:before="60"/>
        <w:jc w:val="center"/>
      </w:pPr>
      <w:r>
        <w:rPr>
          <w:color w:val="6E6A62"/>
          <w:sz w:val="19"/>
          <w:szCs w:val="19"/>
        </w:rPr>
        <w:t xml:space="preserve">Course syllabus — adapted from the book</w:t>
      </w:r>
    </w:p>
    <w:p>
      <w:pPr>
        <w:spacing w:after="40"/>
        <w:jc w:val="center"/>
      </w:pPr>
      <w:r>
        <w:rPr>
          <w:b/>
          <w:bCs/>
          <w:i/>
          <w:iCs/>
          <w:color w:val="33302B"/>
          <w:sz w:val="21"/>
          <w:szCs w:val="21"/>
        </w:rPr>
        <w:t xml:space="preserve">What the Structure Does Not Carry</w:t>
      </w:r>
    </w:p>
    <w:p>
      <w:pPr>
        <w:spacing w:after="260"/>
        <w:jc w:val="center"/>
      </w:pPr>
      <w:r>
        <w:rPr>
          <w:color w:val="6E6A62"/>
          <w:sz w:val="17"/>
          <w:szCs w:val="17"/>
        </w:rPr>
        <w:t xml:space="preserve">Georg Zangl  ·  Foreword by Egbert U. Imomoh  ·  2026</w:t>
      </w:r>
    </w:p>
    <w:p>
      <w:pPr>
        <w:pStyle w:val="Heading1"/>
        <w:spacing w:after="140" w:before="320"/>
      </w:pPr>
      <w:r>
        <w:rPr>
          <w:b/>
          <w:bCs/>
          <w:color w:val="33302B"/>
          <w:sz w:val="29"/>
          <w:szCs w:val="29"/>
        </w:rPr>
        <w:t xml:space="preserve">Course overview</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024"/>
        <w:gridCol w:w="7056"/>
      </w:tblGrid>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Course code</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MGMT 6180 (suggested)</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Level</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MBA elective / Executive Education (can run as 12 weekly sessions or 6 full-day modules)</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Credits</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3 U.S. credits  (or non-credit executive certificate of completion)</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Duration</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12 sessions of ~2 hours, or a 6-module executive intensive</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Format</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Case-driven discussion, guest board members/regulators, team board-briefing project</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Prerequisites</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Core MBA strategy or operations; no technical background required</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Instructor</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[Instructor name] · [email] · Office hours: [time / location]</w:t>
            </w:r>
          </w:p>
        </w:tc>
      </w:tr>
    </w:tbl>
    <w:p>
      <w:pPr>
        <w:spacing w:after="60"/>
      </w:pPr>
    </w:p>
    <w:p>
      <w:pPr>
        <w:pStyle w:val="Heading2"/>
        <w:spacing w:after="100" w:before="240"/>
      </w:pPr>
      <w:r>
        <w:rPr>
          <w:b/>
          <w:bCs/>
          <w:color w:val="1B1A18"/>
          <w:sz w:val="23"/>
          <w:szCs w:val="23"/>
        </w:rPr>
        <w:t xml:space="preserve">About the source text</w:t>
      </w:r>
    </w:p>
    <w:p>
      <w:pPr>
        <w:spacing w:after="120" w:line="276"/>
      </w:pPr>
      <w:r>
        <w:rPr>
          <w:i/>
          <w:iCs/>
          <w:color w:val="1B1A18"/>
          <w:sz w:val="20"/>
          <w:szCs w:val="20"/>
        </w:rPr>
        <w:t xml:space="preserve">What the Structure Does Not Carry</w:t>
      </w:r>
      <w:r>
        <w:rPr>
          <w:color w:val="1B1A18"/>
          <w:sz w:val="20"/>
          <w:szCs w:val="20"/>
        </w:rPr>
        <w:t xml:space="preserve"> argues that an enterprise is not its systems but a small set of properties that must survive every boundary a piece of work crosses: </w:t>
      </w:r>
      <w:r>
        <w:rPr>
          <w:b/>
          <w:bCs/>
          <w:color w:val="1B1A18"/>
          <w:sz w:val="20"/>
          <w:szCs w:val="20"/>
        </w:rPr>
        <w:t xml:space="preserve">context, authority, accountability, coordination, execution coherence, and institutional memory</w:t>
      </w:r>
      <w:r>
        <w:rPr>
          <w:color w:val="1B1A18"/>
          <w:sz w:val="20"/>
          <w:szCs w:val="20"/>
        </w:rPr>
        <w:t xml:space="preserve">. For four decades a hidden layer of people carried those properties by hand across the gaps in every architecture diagram. Agentic AI does not create a new requirement — it withdraws that subsidy. The book states the governing law (</w:t>
      </w:r>
      <w:r>
        <w:rPr>
          <w:i/>
          <w:iCs/>
          <w:color w:val="1B1A18"/>
          <w:sz w:val="20"/>
          <w:szCs w:val="20"/>
        </w:rPr>
        <w:t xml:space="preserve">enterprise architecture is the custody of organisational properties under movement</w:t>
      </w:r>
      <w:r>
        <w:rPr>
          <w:color w:val="1B1A18"/>
          <w:sz w:val="20"/>
          <w:szCs w:val="20"/>
        </w:rPr>
        <w:t xml:space="preserve">), derives what any structure must do to satisfy it, and closes with an evaluation protocol and a set of custody rules. This course is built directly on that spine.</w:t>
      </w:r>
    </w:p>
    <w:p>
      <w:pPr>
        <w:spacing w:after="120" w:line="276"/>
      </w:pPr>
      <w:r>
        <w:rPr>
          <w:i/>
          <w:iCs/>
          <w:color w:val="6E6A62"/>
          <w:sz w:val="20"/>
          <w:szCs w:val="20"/>
        </w:rPr>
        <w:t xml:space="preserve">This MBA / executive version foregrounds the questions boards and executives must answer — accountability, regulatory exposure, sovereignty, and cost — and uses the book’s tests as due-diligence instruments. Technical derivations are kept to what a decision-maker needs.</w:t>
      </w:r>
    </w:p>
    <w:p>
      <w:pPr>
        <w:pStyle w:val="Heading1"/>
        <w:spacing w:after="140" w:before="320"/>
      </w:pPr>
      <w:r>
        <w:rPr>
          <w:b/>
          <w:bCs/>
          <w:color w:val="33302B"/>
          <w:sz w:val="29"/>
          <w:szCs w:val="29"/>
        </w:rPr>
        <w:t xml:space="preserve">Course description</w:t>
      </w:r>
    </w:p>
    <w:p>
      <w:pPr>
        <w:spacing w:after="120" w:line="276"/>
      </w:pPr>
      <w:r>
        <w:rPr>
          <w:color w:val="1B1A18"/>
          <w:sz w:val="20"/>
          <w:szCs w:val="20"/>
        </w:rPr>
        <w:t xml:space="preserve">When AI agents begin to initiate transactions, approve exceptions, and act on behalf of the firm, the questions that reach the board are not technical — they are about accountability, control, exposure, and cost. This course equips current and future executives to govern that shift. Using a first-principles framework built for regulated industries, students learn why the properties that make an organisation trustworthy — who may decide, who answers, what the firm can prove — must be held in structure rather than delegated to a model, and what it costs when they are not. The centrepiece is a set of vendor-neutral ‘tests’ that any director can put to a platform, a vendor, or their own CIO without reading a line of code. Real consequence records — sourced to courts, regulators, and companies’ own admissions — anchor every session.</w:t>
      </w:r>
    </w:p>
    <w:p>
      <w:pPr>
        <w:pStyle w:val="Heading1"/>
        <w:spacing w:after="140" w:before="320"/>
      </w:pPr>
      <w:r>
        <w:rPr>
          <w:b/>
          <w:bCs/>
          <w:color w:val="33302B"/>
          <w:sz w:val="29"/>
          <w:szCs w:val="29"/>
        </w:rPr>
        <w:t xml:space="preserve">Learning outcomes</w:t>
      </w:r>
    </w:p>
    <w:p>
      <w:pPr>
        <w:spacing w:after="80" w:line="276"/>
      </w:pPr>
      <w:r>
        <w:rPr>
          <w:color w:val="1B1A18"/>
          <w:sz w:val="20"/>
          <w:szCs w:val="20"/>
        </w:rPr>
        <w:t xml:space="preserve">On successful completion, participants will be able to:</w:t>
      </w:r>
    </w:p>
    <w:p>
      <w:pPr>
        <w:pStyle w:val="ListParagraph"/>
        <w:numPr>
          <w:ilvl w:val="0"/>
          <w:numId w:val="2"/>
        </w:numPr>
        <w:spacing w:after="70" w:line="268"/>
      </w:pPr>
      <w:r>
        <w:rPr>
          <w:color w:val="1B1A18"/>
          <w:sz w:val="20"/>
          <w:szCs w:val="20"/>
        </w:rPr>
        <w:t xml:space="preserve">Frame the arrival of agentic AI as a governance and accountability question, not merely a technology adoption decision.</w:t>
      </w:r>
    </w:p>
    <w:p>
      <w:pPr>
        <w:pStyle w:val="ListParagraph"/>
        <w:numPr>
          <w:ilvl w:val="0"/>
          <w:numId w:val="2"/>
        </w:numPr>
        <w:spacing w:after="70" w:line="268"/>
      </w:pPr>
      <w:r>
        <w:rPr>
          <w:color w:val="1B1A18"/>
          <w:sz w:val="20"/>
          <w:szCs w:val="20"/>
        </w:rPr>
        <w:t xml:space="preserve">Explain to a board why a probabilistic model cannot be the enforcement point for a non-negotiable rule, and what must sit around it instead.</w:t>
      </w:r>
    </w:p>
    <w:p>
      <w:pPr>
        <w:pStyle w:val="ListParagraph"/>
        <w:numPr>
          <w:ilvl w:val="0"/>
          <w:numId w:val="2"/>
        </w:numPr>
        <w:spacing w:after="70" w:line="268"/>
      </w:pPr>
      <w:r>
        <w:rPr>
          <w:color w:val="1B1A18"/>
          <w:sz w:val="20"/>
          <w:szCs w:val="20"/>
        </w:rPr>
        <w:t xml:space="preserve">Read a real corporate or regulatory failure as a custody failure and identify the decision a board could have demanded to prevent it.</w:t>
      </w:r>
    </w:p>
    <w:p>
      <w:pPr>
        <w:pStyle w:val="ListParagraph"/>
        <w:numPr>
          <w:ilvl w:val="0"/>
          <w:numId w:val="2"/>
        </w:numPr>
        <w:spacing w:after="70" w:line="268"/>
      </w:pPr>
      <w:r>
        <w:rPr>
          <w:color w:val="1B1A18"/>
          <w:sz w:val="20"/>
          <w:szCs w:val="20"/>
        </w:rPr>
        <w:t xml:space="preserve">Assess sovereignty and concentration risk — the firm’s ability to say ‘no’ to any single vendor, model provider, or jurisdiction.</w:t>
      </w:r>
    </w:p>
    <w:p>
      <w:pPr>
        <w:pStyle w:val="ListParagraph"/>
        <w:numPr>
          <w:ilvl w:val="0"/>
          <w:numId w:val="2"/>
        </w:numPr>
        <w:spacing w:after="70" w:line="268"/>
      </w:pPr>
      <w:r>
        <w:rPr>
          <w:color w:val="1B1A18"/>
          <w:sz w:val="20"/>
          <w:szCs w:val="20"/>
        </w:rPr>
        <w:t xml:space="preserve">Interrogate the true cost and accountability of agent work using the ‘meter and ledger’ lens.</w:t>
      </w:r>
    </w:p>
    <w:p>
      <w:pPr>
        <w:pStyle w:val="ListParagraph"/>
        <w:numPr>
          <w:ilvl w:val="0"/>
          <w:numId w:val="2"/>
        </w:numPr>
        <w:spacing w:after="70" w:line="268"/>
      </w:pPr>
      <w:r>
        <w:rPr>
          <w:color w:val="1B1A18"/>
          <w:sz w:val="20"/>
          <w:szCs w:val="20"/>
        </w:rPr>
        <w:t xml:space="preserve">Run the nine-test evaluation protocol as a due-diligence instrument against a vendor or internal proposal.</w:t>
      </w:r>
    </w:p>
    <w:p>
      <w:pPr>
        <w:pStyle w:val="ListParagraph"/>
        <w:numPr>
          <w:ilvl w:val="0"/>
          <w:numId w:val="2"/>
        </w:numPr>
        <w:spacing w:after="70" w:line="268"/>
      </w:pPr>
      <w:r>
        <w:rPr>
          <w:color w:val="1B1A18"/>
          <w:sz w:val="20"/>
          <w:szCs w:val="20"/>
        </w:rPr>
        <w:t xml:space="preserve">Produce a board-ready governance playbook for deploying agentic AI in a regulated business.</w:t>
      </w:r>
    </w:p>
    <w:p>
      <w:pPr>
        <w:pStyle w:val="Heading1"/>
        <w:spacing w:after="140" w:before="320"/>
      </w:pPr>
      <w:r>
        <w:rPr>
          <w:b/>
          <w:bCs/>
          <w:color w:val="33302B"/>
          <w:sz w:val="29"/>
          <w:szCs w:val="29"/>
        </w:rPr>
        <w:t xml:space="preserve">Texts &amp; materials</w:t>
      </w:r>
    </w:p>
    <w:p>
      <w:pPr>
        <w:spacing w:after="120" w:line="276"/>
      </w:pPr>
      <w:r>
        <w:rPr>
          <w:b/>
          <w:bCs/>
          <w:color w:val="1B1A18"/>
          <w:sz w:val="20"/>
          <w:szCs w:val="20"/>
        </w:rPr>
        <w:t xml:space="preserve">Recommended (optional): </w:t>
      </w:r>
      <w:r>
        <w:rPr>
          <w:color w:val="1B1A18"/>
          <w:sz w:val="20"/>
          <w:szCs w:val="20"/>
        </w:rPr>
        <w:t xml:space="preserve">Georg Zangl, </w:t>
      </w:r>
      <w:r>
        <w:rPr>
          <w:i/>
          <w:iCs/>
          <w:color w:val="1B1A18"/>
          <w:sz w:val="20"/>
          <w:szCs w:val="20"/>
        </w:rPr>
        <w:t xml:space="preserve">What the Structure Does Not Carry</w:t>
      </w:r>
      <w:r>
        <w:rPr>
          <w:color w:val="1B1A18"/>
          <w:sz w:val="20"/>
          <w:szCs w:val="20"/>
        </w:rPr>
        <w:t xml:space="preserve"> (2026), foreword by Egbert U. Imomoh. The course is built on this book, but buying it is not required to take the course or to pass it. Every idea, test, and consequence record the assessments rest on is developed in the sessions and provided in the course materials (session slides, the teaching case pack, and the nine-test due-diligence toolkit). The chapter references in the schedule below are for participants who choose to read the book (Kindle edition ~US$2.99); they are optional enrichment and are never a prerequisite for any graded work.</w:t>
      </w:r>
    </w:p>
    <w:p>
      <w:pPr>
        <w:spacing w:after="120" w:line="276"/>
      </w:pPr>
      <w:r>
        <w:rPr>
          <w:b/>
          <w:bCs/>
          <w:color w:val="1B1A18"/>
          <w:sz w:val="20"/>
          <w:szCs w:val="20"/>
        </w:rPr>
        <w:t xml:space="preserve">Supplementary: </w:t>
      </w:r>
      <w:r>
        <w:rPr>
          <w:color w:val="1B1A18"/>
          <w:sz w:val="20"/>
          <w:szCs w:val="20"/>
        </w:rPr>
        <w:t xml:space="preserve">current regulatory texts and enforcement actions relevant to the participant’s domain (data residency, sanctions, audit); the book’s own ‘Sources and Notes’ for the documented consequence records. No vendor documentation or reference architecture is required — by design.</w:t>
      </w:r>
    </w:p>
    <w:p>
      <w:pPr>
        <w:spacing w:after="120" w:line="276"/>
      </w:pPr>
      <w:r>
        <w:rPr>
          <w:b/>
          <w:bCs/>
          <w:color w:val="1B1A18"/>
          <w:sz w:val="20"/>
          <w:szCs w:val="20"/>
        </w:rPr>
        <w:t xml:space="preserve">External evidence: </w:t>
      </w:r>
      <w:r>
        <w:rPr>
          <w:i/>
          <w:iCs/>
          <w:color w:val="1B1A18"/>
          <w:sz w:val="20"/>
          <w:szCs w:val="20"/>
        </w:rPr>
        <w:t xml:space="preserve">The 2026 Global AI in Financial Services Report</w:t>
      </w:r>
      <w:r>
        <w:rPr>
          <w:color w:val="1B1A18"/>
          <w:sz w:val="20"/>
          <w:szCs w:val="20"/>
        </w:rPr>
        <w:t xml:space="preserve"> (Cambridge Centre for Alternative Finance, University of Cambridge, April 2026; 628 organisations across 151 jurisdictions) supplies the independent adoption, risk, concentration, and measurement figures used in class. Those figures, their respondent cuts, and their session-by-session placement are held in </w:t>
      </w:r>
      <w:r>
        <w:rPr>
          <w:i/>
          <w:iCs/>
          <w:color w:val="1B1A18"/>
          <w:sz w:val="20"/>
          <w:szCs w:val="20"/>
        </w:rPr>
        <w:t xml:space="preserve">Evidence Base — External Corroboration and Teaching Figures</w:t>
      </w:r>
      <w:r>
        <w:rPr>
          <w:color w:val="1B1A18"/>
          <w:sz w:val="20"/>
          <w:szCs w:val="20"/>
        </w:rPr>
        <w:t xml:space="preserve"> (folder 8). Figures are as at April 2026 and will age; the teaching materials themselves deliberately carry none.</w:t>
      </w:r>
    </w:p>
    <w:p>
      <w:pPr>
        <w:pStyle w:val="Heading1"/>
        <w:spacing w:after="140" w:before="320"/>
      </w:pPr>
      <w:r>
        <w:rPr>
          <w:b/>
          <w:bCs/>
          <w:color w:val="33302B"/>
          <w:sz w:val="29"/>
          <w:szCs w:val="29"/>
        </w:rPr>
        <w:t xml:space="preserve">Weekly schedule</w:t>
      </w:r>
    </w:p>
    <w:p>
      <w:pPr>
        <w:spacing w:after="100" w:line="276"/>
      </w:pPr>
      <w:r>
        <w:rPr>
          <w:i/>
          <w:iCs/>
          <w:color w:val="6E6A62"/>
          <w:sz w:val="20"/>
          <w:szCs w:val="20"/>
        </w:rPr>
        <w:t xml:space="preserve">The “optional reading” column points participants who own the book to the matching chapters; the sessions and course materials cover everything the assessments require, so these readings are never mandatory. “Activity” shows the in-class focus and when deliverables are due.</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806"/>
        <w:gridCol w:w="3427"/>
        <w:gridCol w:w="3024"/>
        <w:gridCol w:w="2823"/>
      </w:tblGrid>
      <w:tr>
        <w:trPr>
          <w:tblHeader/>
        </w:trPr>
        <w:tc>
          <w:tcPr>
            <w:tcW w:type="dxa" w:w="806"/>
            <w:shd w:fill="33302B" w:color="auto" w:val="clear"/>
            <w:tcMar>
              <w:top w:type="dxa" w:w="60"/>
              <w:left w:type="dxa" w:w="90"/>
              <w:bottom w:type="dxa" w:w="60"/>
              <w:right w:type="dxa" w:w="90"/>
            </w:tcMar>
          </w:tcPr>
          <w:p>
            <w:pPr>
              <w:spacing w:after="0" w:line="250"/>
              <w:jc w:val="center"/>
            </w:pPr>
            <w:r>
              <w:rPr>
                <w:b/>
                <w:bCs/>
                <w:color w:val="FFFFFF"/>
                <w:sz w:val="18"/>
                <w:szCs w:val="18"/>
              </w:rPr>
              <w:t xml:space="preserve">Wk</w:t>
            </w:r>
          </w:p>
        </w:tc>
        <w:tc>
          <w:tcPr>
            <w:tcW w:type="dxa" w:w="3427"/>
            <w:shd w:fill="33302B" w:color="auto" w:val="clear"/>
            <w:tcMar>
              <w:top w:type="dxa" w:w="60"/>
              <w:left w:type="dxa" w:w="90"/>
              <w:bottom w:type="dxa" w:w="60"/>
              <w:right w:type="dxa" w:w="90"/>
            </w:tcMar>
          </w:tcPr>
          <w:p>
            <w:pPr>
              <w:spacing w:after="0" w:line="250"/>
            </w:pPr>
            <w:r>
              <w:rPr>
                <w:b/>
                <w:bCs/>
                <w:color w:val="FFFFFF"/>
                <w:sz w:val="18"/>
                <w:szCs w:val="18"/>
              </w:rPr>
              <w:t xml:space="preserve">Topic / Session</w:t>
            </w:r>
          </w:p>
        </w:tc>
        <w:tc>
          <w:tcPr>
            <w:tcW w:type="dxa" w:w="3024"/>
            <w:shd w:fill="33302B" w:color="auto" w:val="clear"/>
            <w:tcMar>
              <w:top w:type="dxa" w:w="60"/>
              <w:left w:type="dxa" w:w="90"/>
              <w:bottom w:type="dxa" w:w="60"/>
              <w:right w:type="dxa" w:w="90"/>
            </w:tcMar>
          </w:tcPr>
          <w:p>
            <w:pPr>
              <w:spacing w:after="0" w:line="250"/>
            </w:pPr>
            <w:r>
              <w:rPr>
                <w:b/>
                <w:bCs/>
                <w:color w:val="FFFFFF"/>
                <w:sz w:val="18"/>
                <w:szCs w:val="18"/>
              </w:rPr>
              <w:t xml:space="preserve">Optional reading (book)</w:t>
            </w:r>
          </w:p>
        </w:tc>
        <w:tc>
          <w:tcPr>
            <w:tcW w:type="dxa" w:w="2823"/>
            <w:shd w:fill="33302B" w:color="auto" w:val="clear"/>
            <w:tcMar>
              <w:top w:type="dxa" w:w="60"/>
              <w:left w:type="dxa" w:w="90"/>
              <w:bottom w:type="dxa" w:w="60"/>
              <w:right w:type="dxa" w:w="90"/>
            </w:tcMar>
          </w:tcPr>
          <w:p>
            <w:pPr>
              <w:spacing w:after="0" w:line="250"/>
            </w:pPr>
            <w:r>
              <w:rPr>
                <w:b/>
                <w:bCs/>
                <w:color w:val="FFFFFF"/>
                <w:sz w:val="18"/>
                <w:szCs w:val="18"/>
              </w:rPr>
              <w:t xml:space="preserve">In-class / assignment</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1</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The board-level problem: what breaks when the carriers leave</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1–3</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Opening case: a flawless transformation that unravelled</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2</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The six properties as governance obligations</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4</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Map the six properties onto your own firm’s risk register</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3</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Why the model can’t be the control point (for decision-makers)</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5, Ch. 9</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Debate: “let the model decide”</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4</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Accountability &amp; audit: evidence as a product, not a report</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4; Ch. 18; Axiom 4</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Case: a reconstruction that failed the regulator; memo #1 set</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5</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Sovereignty as structure: the ability to say no</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17</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Dependency-census exercise on a familiar vendor stack</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6</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Isolation, tenancy, and the boundaries of trust</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16; Ch. 10</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Case: a cross-tenant leak and its board fallout</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7</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Governance that survives volume</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18</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Guest: regulator / auditor perspective</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8</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The economics: the meter and the ledger</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19</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Cost-and-accountability case; two-invoices test</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9</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Infrastructure decisions boards actually make</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20</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Build-vs-buy vs. neutral-infrastructure discussion</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10</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Change without calcification: preservation is not stasis</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21</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Case: governance that ossified into paralysis</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11</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Nine questions to put to any vendor</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22</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Live protocol run against a sample vendor pitch</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12</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The custody rules &amp; the board playbook</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23</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Team board-briefing presentations</w:t>
            </w:r>
          </w:p>
        </w:tc>
      </w:tr>
    </w:tbl>
    <w:p>
      <w:r>
        <w:br w:type="page"/>
      </w:r>
    </w:p>
    <w:p>
      <w:pPr>
        <w:pStyle w:val="Heading1"/>
        <w:spacing w:after="140" w:before="320"/>
      </w:pPr>
      <w:r>
        <w:rPr>
          <w:b/>
          <w:bCs/>
          <w:color w:val="33302B"/>
          <w:sz w:val="29"/>
          <w:szCs w:val="29"/>
        </w:rPr>
        <w:t xml:space="preserve">Assessment &amp; grading</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7258"/>
        <w:gridCol w:w="2822"/>
      </w:tblGrid>
      <w:tr>
        <w:trPr>
          <w:tblHeader/>
        </w:trPr>
        <w:tc>
          <w:tcPr>
            <w:tcW w:type="dxa" w:w="7258"/>
            <w:shd w:fill="33302B" w:color="auto" w:val="clear"/>
            <w:tcMar>
              <w:top w:type="dxa" w:w="60"/>
              <w:left w:type="dxa" w:w="90"/>
              <w:bottom w:type="dxa" w:w="60"/>
              <w:right w:type="dxa" w:w="90"/>
            </w:tcMar>
          </w:tcPr>
          <w:p>
            <w:pPr>
              <w:spacing w:after="0" w:line="250"/>
            </w:pPr>
            <w:r>
              <w:rPr>
                <w:b/>
                <w:bCs/>
                <w:color w:val="FFFFFF"/>
                <w:sz w:val="18"/>
                <w:szCs w:val="18"/>
              </w:rPr>
              <w:t xml:space="preserve">Assessment component</w:t>
            </w:r>
          </w:p>
        </w:tc>
        <w:tc>
          <w:tcPr>
            <w:tcW w:type="dxa" w:w="2822"/>
            <w:shd w:fill="33302B" w:color="auto" w:val="clear"/>
            <w:tcMar>
              <w:top w:type="dxa" w:w="60"/>
              <w:left w:type="dxa" w:w="90"/>
              <w:bottom w:type="dxa" w:w="60"/>
              <w:right w:type="dxa" w:w="90"/>
            </w:tcMar>
          </w:tcPr>
          <w:p>
            <w:pPr>
              <w:spacing w:after="0" w:line="250"/>
              <w:jc w:val="center"/>
            </w:pPr>
            <w:r>
              <w:rPr>
                <w:b/>
                <w:bCs/>
                <w:color w:val="FFFFFF"/>
                <w:sz w:val="18"/>
                <w:szCs w:val="18"/>
              </w:rPr>
              <w:t xml:space="preserve">Weight</w:t>
            </w:r>
          </w:p>
        </w:tc>
      </w:tr>
      <w:tr>
        <w:tc>
          <w:tcPr>
            <w:tcW w:type="dxa" w:w="7258"/>
            <w:shd w:fill="FFFFFF" w:color="auto" w:val="clear"/>
            <w:tcMar>
              <w:top w:type="dxa" w:w="60"/>
              <w:left w:type="dxa" w:w="90"/>
              <w:bottom w:type="dxa" w:w="60"/>
              <w:right w:type="dxa" w:w="90"/>
            </w:tcMar>
          </w:tcPr>
          <w:p>
            <w:pPr>
              <w:spacing w:after="0" w:line="250"/>
            </w:pPr>
            <w:r>
              <w:rPr>
                <w:color w:val="1B1A18"/>
                <w:sz w:val="18"/>
                <w:szCs w:val="18"/>
              </w:rPr>
              <w:t xml:space="preserve">Class participation &amp; case preparation</w:t>
            </w:r>
          </w:p>
        </w:tc>
        <w:tc>
          <w:tcPr>
            <w:tcW w:type="dxa" w:w="2822"/>
            <w:shd w:fill="FFFFFF" w:color="auto" w:val="clear"/>
            <w:tcMar>
              <w:top w:type="dxa" w:w="60"/>
              <w:left w:type="dxa" w:w="90"/>
              <w:bottom w:type="dxa" w:w="60"/>
              <w:right w:type="dxa" w:w="90"/>
            </w:tcMar>
          </w:tcPr>
          <w:p>
            <w:pPr>
              <w:spacing w:after="0" w:line="250"/>
              <w:jc w:val="center"/>
            </w:pPr>
            <w:r>
              <w:rPr>
                <w:b/>
                <w:bCs/>
                <w:color w:val="33302B"/>
                <w:sz w:val="18"/>
                <w:szCs w:val="18"/>
              </w:rPr>
              <w:t xml:space="preserve">15%</w:t>
            </w:r>
          </w:p>
        </w:tc>
      </w:tr>
      <w:tr>
        <w:tc>
          <w:tcPr>
            <w:tcW w:type="dxa" w:w="7258"/>
            <w:shd w:fill="F4F2EE" w:color="auto" w:val="clear"/>
            <w:tcMar>
              <w:top w:type="dxa" w:w="60"/>
              <w:left w:type="dxa" w:w="90"/>
              <w:bottom w:type="dxa" w:w="60"/>
              <w:right w:type="dxa" w:w="90"/>
            </w:tcMar>
          </w:tcPr>
          <w:p>
            <w:pPr>
              <w:spacing w:after="0" w:line="250"/>
            </w:pPr>
            <w:r>
              <w:rPr>
                <w:color w:val="1B1A18"/>
                <w:sz w:val="18"/>
                <w:szCs w:val="18"/>
              </w:rPr>
              <w:t xml:space="preserve">Vendor evaluation memo — apply the nine-test protocol (individual)</w:t>
            </w:r>
          </w:p>
        </w:tc>
        <w:tc>
          <w:tcPr>
            <w:tcW w:type="dxa" w:w="2822"/>
            <w:shd w:fill="F4F2EE" w:color="auto" w:val="clear"/>
            <w:tcMar>
              <w:top w:type="dxa" w:w="60"/>
              <w:left w:type="dxa" w:w="90"/>
              <w:bottom w:type="dxa" w:w="60"/>
              <w:right w:type="dxa" w:w="90"/>
            </w:tcMar>
          </w:tcPr>
          <w:p>
            <w:pPr>
              <w:spacing w:after="0" w:line="250"/>
              <w:jc w:val="center"/>
            </w:pPr>
            <w:r>
              <w:rPr>
                <w:b/>
                <w:bCs/>
                <w:color w:val="33302B"/>
                <w:sz w:val="18"/>
                <w:szCs w:val="18"/>
              </w:rPr>
              <w:t xml:space="preserve">25%</w:t>
            </w:r>
          </w:p>
        </w:tc>
      </w:tr>
      <w:tr>
        <w:tc>
          <w:tcPr>
            <w:tcW w:type="dxa" w:w="7258"/>
            <w:shd w:fill="FFFFFF" w:color="auto" w:val="clear"/>
            <w:tcMar>
              <w:top w:type="dxa" w:w="60"/>
              <w:left w:type="dxa" w:w="90"/>
              <w:bottom w:type="dxa" w:w="60"/>
              <w:right w:type="dxa" w:w="90"/>
            </w:tcMar>
          </w:tcPr>
          <w:p>
            <w:pPr>
              <w:spacing w:after="0" w:line="250"/>
            </w:pPr>
            <w:r>
              <w:rPr>
                <w:color w:val="1B1A18"/>
                <w:sz w:val="18"/>
                <w:szCs w:val="18"/>
              </w:rPr>
              <w:t xml:space="preserve">Consequence-record board case — root-cause a real failure (individual)</w:t>
            </w:r>
          </w:p>
        </w:tc>
        <w:tc>
          <w:tcPr>
            <w:tcW w:type="dxa" w:w="2822"/>
            <w:shd w:fill="FFFFFF" w:color="auto" w:val="clear"/>
            <w:tcMar>
              <w:top w:type="dxa" w:w="60"/>
              <w:left w:type="dxa" w:w="90"/>
              <w:bottom w:type="dxa" w:w="60"/>
              <w:right w:type="dxa" w:w="90"/>
            </w:tcMar>
          </w:tcPr>
          <w:p>
            <w:pPr>
              <w:spacing w:after="0" w:line="250"/>
              <w:jc w:val="center"/>
            </w:pPr>
            <w:r>
              <w:rPr>
                <w:b/>
                <w:bCs/>
                <w:color w:val="33302B"/>
                <w:sz w:val="18"/>
                <w:szCs w:val="18"/>
              </w:rPr>
              <w:t xml:space="preserve">20%</w:t>
            </w:r>
          </w:p>
        </w:tc>
      </w:tr>
      <w:tr>
        <w:tc>
          <w:tcPr>
            <w:tcW w:type="dxa" w:w="7258"/>
            <w:shd w:fill="F4F2EE" w:color="auto" w:val="clear"/>
            <w:tcMar>
              <w:top w:type="dxa" w:w="60"/>
              <w:left w:type="dxa" w:w="90"/>
              <w:bottom w:type="dxa" w:w="60"/>
              <w:right w:type="dxa" w:w="90"/>
            </w:tcMar>
          </w:tcPr>
          <w:p>
            <w:pPr>
              <w:spacing w:after="0" w:line="250"/>
            </w:pPr>
            <w:r>
              <w:rPr>
                <w:color w:val="1B1A18"/>
                <w:sz w:val="18"/>
                <w:szCs w:val="18"/>
              </w:rPr>
              <w:t xml:space="preserve">Team project — Governance playbook &amp; board briefing</w:t>
            </w:r>
          </w:p>
        </w:tc>
        <w:tc>
          <w:tcPr>
            <w:tcW w:type="dxa" w:w="2822"/>
            <w:shd w:fill="F4F2EE" w:color="auto" w:val="clear"/>
            <w:tcMar>
              <w:top w:type="dxa" w:w="60"/>
              <w:left w:type="dxa" w:w="90"/>
              <w:bottom w:type="dxa" w:w="60"/>
              <w:right w:type="dxa" w:w="90"/>
            </w:tcMar>
          </w:tcPr>
          <w:p>
            <w:pPr>
              <w:spacing w:after="0" w:line="250"/>
              <w:jc w:val="center"/>
            </w:pPr>
            <w:r>
              <w:rPr>
                <w:b/>
                <w:bCs/>
                <w:color w:val="33302B"/>
                <w:sz w:val="18"/>
                <w:szCs w:val="18"/>
              </w:rPr>
              <w:t xml:space="preserve">40%</w:t>
            </w:r>
          </w:p>
        </w:tc>
      </w:tr>
      <w:tr>
        <w:tc>
          <w:tcPr>
            <w:tcW w:type="dxa" w:w="7258"/>
            <w:shd w:fill="EBE7DF" w:color="auto" w:val="clear"/>
            <w:tcMar>
              <w:top w:type="dxa" w:w="60"/>
              <w:left w:type="dxa" w:w="90"/>
              <w:bottom w:type="dxa" w:w="60"/>
              <w:right w:type="dxa" w:w="90"/>
            </w:tcMar>
          </w:tcPr>
          <w:p>
            <w:pPr>
              <w:spacing w:after="0" w:line="250"/>
            </w:pPr>
            <w:r>
              <w:rPr>
                <w:b/>
                <w:bCs/>
                <w:color w:val="1B1A18"/>
                <w:sz w:val="18"/>
                <w:szCs w:val="18"/>
              </w:rPr>
              <w:t xml:space="preserve">Total</w:t>
            </w:r>
          </w:p>
        </w:tc>
        <w:tc>
          <w:tcPr>
            <w:tcW w:type="dxa" w:w="2822"/>
            <w:shd w:fill="EBE7DF" w:color="auto" w:val="clear"/>
            <w:tcMar>
              <w:top w:type="dxa" w:w="60"/>
              <w:left w:type="dxa" w:w="90"/>
              <w:bottom w:type="dxa" w:w="60"/>
              <w:right w:type="dxa" w:w="90"/>
            </w:tcMar>
          </w:tcPr>
          <w:p>
            <w:pPr>
              <w:spacing w:after="0" w:line="250"/>
              <w:jc w:val="center"/>
            </w:pPr>
            <w:r>
              <w:rPr>
                <w:b/>
                <w:bCs/>
                <w:color w:val="1B1A18"/>
                <w:sz w:val="18"/>
                <w:szCs w:val="18"/>
              </w:rPr>
              <w:t xml:space="preserve">100%</w:t>
            </w:r>
          </w:p>
        </w:tc>
      </w:tr>
    </w:tbl>
    <w:p>
      <w:pPr>
        <w:spacing w:after="80"/>
      </w:pPr>
    </w:p>
    <w:p>
      <w:pPr>
        <w:pStyle w:val="Heading2"/>
        <w:spacing w:after="100" w:before="240"/>
      </w:pPr>
      <w:r>
        <w:rPr>
          <w:b/>
          <w:bCs/>
          <w:color w:val="1B1A18"/>
          <w:sz w:val="23"/>
          <w:szCs w:val="23"/>
        </w:rPr>
        <w:t xml:space="preserve">Team project — The board governance playbook</w:t>
      </w:r>
    </w:p>
    <w:p>
      <w:pPr>
        <w:spacing w:after="120" w:line="276"/>
      </w:pPr>
      <w:r>
        <w:rPr>
          <w:color w:val="1B1A18"/>
          <w:sz w:val="20"/>
          <w:szCs w:val="20"/>
        </w:rPr>
        <w:t xml:space="preserve">In teams, act as a working group advising the board of a regulated company that intends to deploy agentic AI in a core process. Produce a concise governance playbook that: states the non-negotiable rules the deployment must never violate; specifies what evidence the board will require at each transaction; sets the firm’s position on sovereignty and vendor concentration; and defines the due-diligence questions (drawn from the nine-test protocol) that any proposed platform must pass.</w:t>
      </w:r>
    </w:p>
    <w:p>
      <w:pPr>
        <w:spacing w:after="120" w:line="276"/>
      </w:pPr>
      <w:r>
        <w:rPr>
          <w:color w:val="1B1A18"/>
          <w:sz w:val="20"/>
          <w:szCs w:val="20"/>
        </w:rPr>
        <w:t xml:space="preserve">Deliverables: a 10-page board briefing document and a 15-minute presentation delivered to a panel playing the board. Assessed on soundness of the governance logic, realism about cost and regulatory exposure, and the sharpness of the tests the team would actually enforce — not on technical detail.</w:t>
      </w:r>
    </w:p>
    <w:p>
      <w:pPr>
        <w:pStyle w:val="Heading1"/>
        <w:spacing w:after="140" w:before="320"/>
      </w:pPr>
      <w:r>
        <w:rPr>
          <w:b/>
          <w:bCs/>
          <w:color w:val="33302B"/>
          <w:sz w:val="29"/>
          <w:szCs w:val="29"/>
        </w:rPr>
        <w:t xml:space="preserve">Reference: the book at a glance</w:t>
      </w:r>
    </w:p>
    <w:p>
      <w:pPr>
        <w:spacing w:after="80" w:line="276"/>
      </w:pPr>
      <w:r>
        <w:rPr>
          <w:color w:val="1B1A18"/>
          <w:sz w:val="20"/>
          <w:szCs w:val="20"/>
        </w:rPr>
        <w:t xml:space="preserve">The six parts the readings draw on:</w:t>
      </w:r>
    </w:p>
    <w:p>
      <w:pPr>
        <w:spacing w:after="90" w:line="276"/>
      </w:pPr>
      <w:r>
        <w:rPr>
          <w:b/>
          <w:bCs/>
          <w:color w:val="33302B"/>
          <w:sz w:val="20"/>
          <w:szCs w:val="20"/>
        </w:rPr>
        <w:t xml:space="preserve">Part I — The Invisible Layer (Ch. 1–3) — </w:t>
      </w:r>
      <w:r>
        <w:rPr>
          <w:color w:val="1B1A18"/>
          <w:sz w:val="20"/>
          <w:szCs w:val="20"/>
        </w:rPr>
        <w:t xml:space="preserve">The diagnosis: the human layer that carries meaning, authority and memory across every crossing, and why agentic AI withdraws that subsidy.</w:t>
      </w:r>
    </w:p>
    <w:p>
      <w:pPr>
        <w:spacing w:after="90" w:line="276"/>
      </w:pPr>
      <w:r>
        <w:rPr>
          <w:b/>
          <w:bCs/>
          <w:color w:val="33302B"/>
          <w:sz w:val="20"/>
          <w:szCs w:val="20"/>
        </w:rPr>
        <w:t xml:space="preserve">Part II — The Laws (Ch. 4–6) — </w:t>
      </w:r>
      <w:r>
        <w:rPr>
          <w:color w:val="1B1A18"/>
          <w:sz w:val="20"/>
          <w:szCs w:val="20"/>
        </w:rPr>
        <w:t xml:space="preserve">The custody law, the six conserved properties, the four axioms, and the preservation principle — structure holds, content moves.</w:t>
      </w:r>
    </w:p>
    <w:p>
      <w:pPr>
        <w:spacing w:after="90" w:line="276"/>
      </w:pPr>
      <w:r>
        <w:rPr>
          <w:b/>
          <w:bCs/>
          <w:color w:val="33302B"/>
          <w:sz w:val="20"/>
          <w:szCs w:val="20"/>
        </w:rPr>
        <w:t xml:space="preserve">Part III — Agentic AI (Ch. 7–11) — </w:t>
      </w:r>
      <w:r>
        <w:rPr>
          <w:color w:val="1B1A18"/>
          <w:sz w:val="20"/>
          <w:szCs w:val="20"/>
        </w:rPr>
        <w:t xml:space="preserve">Agents as participants, identity as data, governance in structure not models, trust at the seams, decisions at configuration time.</w:t>
      </w:r>
    </w:p>
    <w:p>
      <w:pPr>
        <w:spacing w:after="90" w:line="276"/>
      </w:pPr>
      <w:r>
        <w:rPr>
          <w:b/>
          <w:bCs/>
          <w:color w:val="33302B"/>
          <w:sz w:val="20"/>
          <w:szCs w:val="20"/>
        </w:rPr>
        <w:t xml:space="preserve">Part IV — Memory and Context (Ch. 12–15) — </w:t>
      </w:r>
      <w:r>
        <w:rPr>
          <w:color w:val="1B1A18"/>
          <w:sz w:val="20"/>
          <w:szCs w:val="20"/>
        </w:rPr>
        <w:t xml:space="preserve">Context is not data; content belongs in the store suited to its shape; durability needs ceremony; memory as an attack surface.</w:t>
      </w:r>
    </w:p>
    <w:p>
      <w:pPr>
        <w:spacing w:after="90" w:line="276"/>
      </w:pPr>
      <w:r>
        <w:rPr>
          <w:b/>
          <w:bCs/>
          <w:color w:val="33302B"/>
          <w:sz w:val="20"/>
          <w:szCs w:val="20"/>
        </w:rPr>
        <w:t xml:space="preserve">Part V — Strategic Consequences (Ch. 16–20) — </w:t>
      </w:r>
      <w:r>
        <w:rPr>
          <w:color w:val="1B1A18"/>
          <w:sz w:val="20"/>
          <w:szCs w:val="20"/>
        </w:rPr>
        <w:t xml:space="preserve">Isolation, sovereignty, governance at volume, the meter and the ledger (cost), infrastructure that outlives what it coordinates.</w:t>
      </w:r>
    </w:p>
    <w:p>
      <w:pPr>
        <w:spacing w:after="90" w:line="276"/>
      </w:pPr>
      <w:r>
        <w:rPr>
          <w:b/>
          <w:bCs/>
          <w:color w:val="33302B"/>
          <w:sz w:val="20"/>
          <w:szCs w:val="20"/>
        </w:rPr>
        <w:t xml:space="preserve">Part VI — Practice (Ch. 21–23) — </w:t>
      </w:r>
      <w:r>
        <w:rPr>
          <w:color w:val="1B1A18"/>
          <w:sz w:val="20"/>
          <w:szCs w:val="20"/>
        </w:rPr>
        <w:t xml:space="preserve">Preservation is not stasis; the nine-test evaluation protocol; the six custody rules and the rule above them.</w:t>
      </w:r>
    </w:p>
    <w:p>
      <w:pPr>
        <w:pBdr>
          <w:bottom w:val="single" w:color="D6D2C9" w:sz="8"/>
        </w:pBdr>
        <w:spacing w:after="100" w:before="160"/>
      </w:pPr>
      <w:r>
        <w:t xml:space="preserve"/>
      </w:r>
    </w:p>
    <w:p>
      <w:pPr>
        <w:spacing w:after="120" w:line="276"/>
        <w:jc w:val="center"/>
      </w:pPr>
      <w:r>
        <w:rPr>
          <w:i/>
          <w:iCs/>
          <w:color w:val="33302B"/>
          <w:sz w:val="20"/>
          <w:szCs w:val="20"/>
        </w:rPr>
        <w:t xml:space="preserve">The rule above the rules: “Every component must be replaceable, and no property ever may be.”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i/>
        <w:iCs/>
        <w:color w:val="6E6A62"/>
        <w:sz w:val="16"/>
        <w:szCs w:val="16"/>
      </w:rPr>
      <w:t xml:space="preserve">Based on </w:t>
    </w:r>
    <w:r>
      <w:rPr>
        <w:i/>
        <w:iCs/>
        <w:color w:val="6E6A62"/>
        <w:sz w:val="16"/>
        <w:szCs w:val="16"/>
      </w:rPr>
      <w:t xml:space="preserve">What the Structure Does Not Carry</w:t>
    </w:r>
    <w:r>
      <w:rPr>
        <w:color w:val="6E6A62"/>
        <w:sz w:val="16"/>
        <w:szCs w:val="16"/>
      </w:rPr>
      <w:t xml:space="preserve"> by Georg Zangl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MBA — Governing the Agentic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abstractNum w:abstractNumId="3" w15:restartNumberingAfterBreak="0">
    <w:multiLevelType w:val="hybridMultilevel"/>
    <w:lvl w:ilvl="0" w15:tentative="1">
      <w:start w:val="1"/>
      <w:numFmt w:val="decimal"/>
      <w:lvlText w:val="LO%1."/>
      <w:lvlJc w:val="left"/>
      <w:pPr>
        <w:ind w:left="520" w:hanging="400"/>
      </w:pPr>
    </w:lvl>
  </w:abstractNum>
  <w:abstractNum w:abstractNumId="4"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Governing the Agentic Enterprise</dc:title>
  <dc:creator>MudoZangl — adapted from What the Structure Does Not Carry</dc:creator>
  <dc:description>Course syllabus adapted from the book by Georg Zangl</dc:description>
  <cp:lastModifiedBy>Un-named</cp:lastModifiedBy>
  <cp:revision>1</cp:revision>
  <dcterms:created xsi:type="dcterms:W3CDTF">2026-08-15T17:02:29.625Z</dcterms:created>
  <dcterms:modified xsi:type="dcterms:W3CDTF">2026-08-15T17:02:29.625Z</dcterms:modified>
</cp:coreProperties>
</file>

<file path=docProps/custom.xml><?xml version="1.0" encoding="utf-8"?>
<Properties xmlns="http://schemas.openxmlformats.org/officeDocument/2006/custom-properties" xmlns:vt="http://schemas.openxmlformats.org/officeDocument/2006/docPropsVTypes"/>
</file>