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360"/>
        <w:jc w:val="center"/>
      </w:pPr>
      <w:r>
        <w:rPr>
          <w:b/>
          <w:bCs/>
          <w:caps/>
          <w:color w:val="33302B"/>
          <w:sz w:val="18"/>
          <w:szCs w:val="18"/>
        </w:rPr>
        <w:t xml:space="preserve">Applied cohort · self-contained</w:t>
      </w:r>
    </w:p>
    <w:p>
      <w:pPr>
        <w:spacing w:after="60"/>
        <w:jc w:val="center"/>
      </w:pPr>
      <w:r>
        <w:rPr>
          <w:b/>
          <w:bCs/>
          <w:color w:val="1B1A18"/>
          <w:sz w:val="38"/>
          <w:szCs w:val="38"/>
        </w:rPr>
        <w:t xml:space="preserve">Applied Exercise Workbook</w:t>
      </w:r>
    </w:p>
    <w:p>
      <w:pPr>
        <w:spacing w:after="150"/>
        <w:jc w:val="center"/>
      </w:pPr>
      <w:r>
        <w:rPr>
          <w:i/>
          <w:iCs/>
          <w:color w:val="6E6A62"/>
          <w:sz w:val="23"/>
          <w:szCs w:val="23"/>
        </w:rPr>
        <w:t xml:space="preserve">Seven weekly exercises, with facilitator notes, printed reference, and a supplied reference case</w:t>
      </w:r>
    </w:p>
    <w:p>
      <w:pPr>
        <w:spacing w:after="40"/>
        <w:jc w:val="center"/>
      </w:pPr>
      <w:r>
        <w:rPr>
          <w:color w:val="1B1A18"/>
          <w:sz w:val="20"/>
          <w:szCs w:val="20"/>
        </w:rPr>
        <w:t xml:space="preserve">Professional Certificate — The Custody Architect</w:t>
      </w:r>
    </w:p>
    <w:p>
      <w:pPr>
        <w:spacing w:after="220"/>
        <w:jc w:val="center"/>
      </w:pPr>
      <w:r>
        <w:rPr>
          <w:b/>
          <w:bCs/>
          <w:color w:val="33302B"/>
          <w:sz w:val="18"/>
          <w:szCs w:val="18"/>
        </w:rPr>
        <w:t xml:space="preserve">MZ-EDU-WB-PCERT v2.0 · 17 August 2026 · reference case supplied</w:t>
      </w:r>
    </w:p>
    <w:tbl>
      <w:tblPr>
        <w:tblW w:type="dxa" w:w="10080"/>
        <w:tblBorders>
          <w:top w:val="single" w:color="D6D2C9" w:sz="4"/>
          <w:left w:val="single" w:color="8A8378" w:sz="12"/>
          <w:bottom w:val="single" w:color="D6D2C9" w:sz="4"/>
          <w:right w:val="single" w:color="D6D2C9" w:sz="4"/>
          <w:insideH w:val="none"/>
          <w:insideV w:val="none"/>
        </w:tblBorders>
      </w:tblPr>
      <w:tblGrid>
        <w:gridCol w:w="10080"/>
      </w:tblGrid>
      <w:tr>
        <w:tc>
          <w:tcPr>
            <w:tcW w:type="dxa" w:w="10080"/>
            <w:shd w:fill="F4F2EE" w:color="auto" w:val="clear"/>
            <w:tcMar>
              <w:top w:type="dxa" w:w="120"/>
              <w:left w:type="dxa" w:w="160"/>
              <w:bottom w:type="dxa" w:w="120"/>
              <w:right w:type="dxa" w:w="160"/>
            </w:tcMar>
          </w:tcPr>
          <w:p>
            <w:pPr>
              <w:spacing w:after="80" w:line="264"/>
            </w:pPr>
            <w:r>
              <w:rPr>
                <w:b/>
                <w:bCs/>
                <w:color w:val="1B1A18"/>
                <w:sz w:val="20"/>
                <w:szCs w:val="20"/>
              </w:rPr>
              <w:t xml:space="preserve">What changed in this edition. </w:t>
            </w:r>
            <w:r>
              <w:rPr>
                <w:color w:val="1B1A18"/>
                <w:sz w:val="20"/>
                <w:szCs w:val="20"/>
              </w:rPr>
              <w:t xml:space="preserve">The previous version told facilitators to supply a reference case where a participant could not use their own system. None was supplied anywhere in the folder. One is now included at the end of this workbook, with failures deliberately planted, so that every exercise can be run by a participant who brings nothing.</w:t>
            </w:r>
          </w:p>
          <w:p>
            <w:pPr>
              <w:spacing w:after="0" w:line="264"/>
            </w:pPr>
            <w:r>
              <w:rPr>
                <w:b/>
                <w:bCs/>
                <w:color w:val="1B1A18"/>
                <w:sz w:val="20"/>
                <w:szCs w:val="20"/>
              </w:rPr>
              <w:t xml:space="preserve">Distribute above the line, keep below it. </w:t>
            </w:r>
            <w:r>
              <w:rPr>
                <w:color w:val="1B1A18"/>
                <w:sz w:val="20"/>
                <w:szCs w:val="20"/>
              </w:rPr>
              <w:t xml:space="preserve">Everything down to "What good looks like" goes to the cohort.</w:t>
            </w:r>
          </w:p>
        </w:tc>
      </w:tr>
    </w:tbl>
    <w:p>
      <w:pPr>
        <w:pStyle w:val="Heading1"/>
        <w:spacing w:after="130" w:before="300"/>
      </w:pPr>
      <w:r>
        <w:rPr>
          <w:b/>
          <w:bCs/>
          <w:color w:val="33302B"/>
          <w:sz w:val="29"/>
          <w:szCs w:val="29"/>
        </w:rPr>
        <w:t xml:space="preserve">Printed reference · the six diagnostic tests</w:t>
      </w:r>
    </w:p>
    <w:p>
      <w:pPr>
        <w:spacing w:after="140" w:line="276"/>
      </w:pPr>
      <w:r>
        <w:rPr>
          <w:i/>
          <w:iCs/>
          <w:color w:val="6E6A62"/>
          <w:sz w:val="20"/>
          <w:szCs w:val="20"/>
        </w:rPr>
        <w:t xml:space="preserve">Printed so that nothing here requires the book to be open in the lab. Read them as written; the wording is doing work.</w:t>
      </w:r>
    </w:p>
    <w:p>
      <w:pPr>
        <w:spacing w:after="100"/>
      </w:pPr>
    </w:p>
    <w:tbl>
      <w:tblPr>
        <w:tblW w:type="dxa" w:w="10080"/>
        <w:tblBorders>
          <w:top w:val="single" w:color="D6D2C9" w:sz="4"/>
          <w:left w:val="single" w:color="D6D2C9" w:sz="4"/>
          <w:bottom w:val="single" w:color="D6D2C9" w:sz="4"/>
          <w:right w:val="single" w:color="D6D2C9" w:sz="4"/>
          <w:insideH w:val="single" w:color="D6D2C9" w:sz="4"/>
          <w:insideV w:val="single" w:color="D6D2C9" w:sz="4"/>
        </w:tblBorders>
      </w:tblPr>
      <w:tblGrid>
        <w:gridCol w:w="2200"/>
        <w:gridCol w:w="7880"/>
      </w:tblGrid>
      <w:tr>
        <w:trPr>
          <w:tblHeader/>
        </w:trPr>
        <w:tc>
          <w:tcPr>
            <w:tcW w:type="dxa" w:w="2200"/>
            <w:shd w:fill="F4F2EE" w:color="auto" w:val="clear"/>
            <w:tcMar>
              <w:top w:type="dxa" w:w="60"/>
              <w:left w:type="dxa" w:w="90"/>
              <w:bottom w:type="dxa" w:w="60"/>
              <w:right w:type="dxa" w:w="90"/>
            </w:tcMar>
          </w:tcPr>
          <w:p>
            <w:pPr>
              <w:spacing w:after="0" w:line="250"/>
            </w:pPr>
            <w:r>
              <w:rPr>
                <w:b/>
                <w:bCs/>
                <w:i w:val="false"/>
                <w:iCs w:val="false"/>
                <w:color w:val="33302B"/>
                <w:sz w:val="18"/>
                <w:szCs w:val="18"/>
              </w:rPr>
              <w:t xml:space="preserve">Property</w:t>
            </w:r>
          </w:p>
        </w:tc>
        <w:tc>
          <w:tcPr>
            <w:tcW w:type="dxa" w:w="7880"/>
            <w:shd w:fill="F4F2EE" w:color="auto" w:val="clear"/>
            <w:tcMar>
              <w:top w:type="dxa" w:w="60"/>
              <w:left w:type="dxa" w:w="90"/>
              <w:bottom w:type="dxa" w:w="60"/>
              <w:right w:type="dxa" w:w="90"/>
            </w:tcMar>
          </w:tcPr>
          <w:p>
            <w:pPr>
              <w:spacing w:after="0" w:line="250"/>
            </w:pPr>
            <w:r>
              <w:rPr>
                <w:b/>
                <w:bCs/>
                <w:i w:val="false"/>
                <w:iCs w:val="false"/>
                <w:color w:val="33302B"/>
                <w:sz w:val="18"/>
                <w:szCs w:val="18"/>
              </w:rPr>
              <w:t xml:space="preserve">The test</w:t>
            </w:r>
          </w:p>
        </w:tc>
      </w:tr>
      <w:tr>
        <w:tc>
          <w:tcPr>
            <w:tcW w:type="dxa" w:w="22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Context</w:t>
            </w:r>
          </w:p>
        </w:tc>
        <w:tc>
          <w:tcPr>
            <w:tcW w:type="dxa" w:w="78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Pick any piece of work mid-journey and ask the receiving side not what the data says, but what it means and why it is constrained. If the answer requires a phone call, context is not in custody.</w:t>
            </w:r>
          </w:p>
        </w:tc>
      </w:tr>
      <w:tr>
        <w:tc>
          <w:tcPr>
            <w:tcW w:type="dxa" w:w="22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Authority</w:t>
            </w:r>
          </w:p>
        </w:tc>
        <w:tc>
          <w:tcPr>
            <w:tcW w:type="dxa" w:w="78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For any consequential action ask: who may decide this, and under which delegation? Then time how long the true answer takes and how many systems must be consulted to assemble it.</w:t>
            </w:r>
          </w:p>
        </w:tc>
      </w:tr>
      <w:tr>
        <w:tc>
          <w:tcPr>
            <w:tcW w:type="dxa" w:w="22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Accountability</w:t>
            </w:r>
          </w:p>
        </w:tc>
        <w:tc>
          <w:tcPr>
            <w:tcW w:type="dxa" w:w="78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Take a consequential action from ninety days ago and produce its full attribution — who, under which right, with what result. If the answer is a project rather than a query, accountability is not in custody.</w:t>
            </w:r>
          </w:p>
        </w:tc>
      </w:tr>
      <w:tr>
        <w:tc>
          <w:tcPr>
            <w:tcW w:type="dxa" w:w="22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Coordination</w:t>
            </w:r>
          </w:p>
        </w:tc>
        <w:tc>
          <w:tcPr>
            <w:tcW w:type="dxa" w:w="78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Choose one enterprise-level intent and trace where it is represented as an enforceable object rather than a document, along the path the work actually travels. If the trace comes up empty, the enterprise is integrated, not coordinated.</w:t>
            </w:r>
          </w:p>
        </w:tc>
      </w:tr>
      <w:tr>
        <w:tc>
          <w:tcPr>
            <w:tcW w:type="dxa" w:w="22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Execution coherence</w:t>
            </w:r>
          </w:p>
        </w:tc>
        <w:tc>
          <w:tcPr>
            <w:tcW w:type="dxa" w:w="78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State one non-negotiable, then enter through three different doors — three systems, three channels, three interfaces — and check whether it holds identically at each. One exception disproves coherence; that is what non-negotiable means.</w:t>
            </w:r>
          </w:p>
        </w:tc>
      </w:tr>
      <w:tr>
        <w:tc>
          <w:tcPr>
            <w:tcW w:type="dxa" w:w="22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Institutional memory</w:t>
            </w:r>
          </w:p>
        </w:tc>
        <w:tc>
          <w:tcPr>
            <w:tcW w:type="dxa" w:w="78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Identify a lesson the organisation paid heavily to learn more than five years ago and ask where it is written, who vouched for it, and what consults it today. If the answer is a person, the memory is not institutional — it is borrowed.</w:t>
            </w:r>
          </w:p>
        </w:tc>
      </w:tr>
    </w:tbl>
    <w:p>
      <w:pPr>
        <w:spacing w:after="140"/>
      </w:pPr>
    </w:p>
    <w:p>
      <w:pPr>
        <w:pStyle w:val="Heading1"/>
        <w:spacing w:after="130" w:before="300"/>
      </w:pPr>
      <w:r>
        <w:rPr>
          <w:b/>
          <w:bCs/>
          <w:color w:val="33302B"/>
          <w:sz w:val="29"/>
          <w:szCs w:val="29"/>
        </w:rPr>
        <w:t xml:space="preserve">Printed reference · the protocol</w:t>
      </w:r>
    </w:p>
    <w:p>
      <w:pPr>
        <w:spacing w:after="140" w:line="276"/>
      </w:pPr>
      <w:r>
        <w:rPr>
          <w:i/>
          <w:iCs/>
          <w:color w:val="6E6A62"/>
          <w:sz w:val="20"/>
          <w:szCs w:val="20"/>
        </w:rPr>
        <w:t xml:space="preserve">Ten items. The sequence is deliberate — each failure makes the later questions unnecessary. None requires source code, model weights, or training data.</w:t>
      </w:r>
    </w:p>
    <w:p>
      <w:pPr>
        <w:spacing w:after="100"/>
      </w:pPr>
    </w:p>
    <w:tbl>
      <w:tblPr>
        <w:tblW w:type="dxa" w:w="10080"/>
        <w:tblBorders>
          <w:top w:val="single" w:color="D6D2C9" w:sz="4"/>
          <w:left w:val="single" w:color="D6D2C9" w:sz="4"/>
          <w:bottom w:val="single" w:color="D6D2C9" w:sz="4"/>
          <w:right w:val="single" w:color="D6D2C9" w:sz="4"/>
          <w:insideH w:val="single" w:color="D6D2C9" w:sz="4"/>
          <w:insideV w:val="single" w:color="D6D2C9" w:sz="4"/>
        </w:tblBorders>
      </w:tblPr>
      <w:tblGrid>
        <w:gridCol w:w="700"/>
        <w:gridCol w:w="2400"/>
        <w:gridCol w:w="6980"/>
      </w:tblGrid>
      <w:tr>
        <w:trPr>
          <w:tblHeader/>
        </w:trPr>
        <w:tc>
          <w:tcPr>
            <w:tcW w:type="dxa" w:w="700"/>
            <w:shd w:fill="F4F2EE" w:color="auto" w:val="clear"/>
            <w:tcMar>
              <w:top w:type="dxa" w:w="60"/>
              <w:left w:type="dxa" w:w="90"/>
              <w:bottom w:type="dxa" w:w="60"/>
              <w:right w:type="dxa" w:w="90"/>
            </w:tcMar>
          </w:tcPr>
          <w:p>
            <w:pPr>
              <w:spacing w:after="0" w:line="250"/>
            </w:pPr>
            <w:r>
              <w:rPr>
                <w:b/>
                <w:bCs/>
                <w:i w:val="false"/>
                <w:iCs w:val="false"/>
                <w:color w:val="33302B"/>
                <w:sz w:val="18"/>
                <w:szCs w:val="18"/>
              </w:rPr>
              <w:t xml:space="preserve">#</w:t>
            </w:r>
          </w:p>
        </w:tc>
        <w:tc>
          <w:tcPr>
            <w:tcW w:type="dxa" w:w="2400"/>
            <w:shd w:fill="F4F2EE" w:color="auto" w:val="clear"/>
            <w:tcMar>
              <w:top w:type="dxa" w:w="60"/>
              <w:left w:type="dxa" w:w="90"/>
              <w:bottom w:type="dxa" w:w="60"/>
              <w:right w:type="dxa" w:w="90"/>
            </w:tcMar>
          </w:tcPr>
          <w:p>
            <w:pPr>
              <w:spacing w:after="0" w:line="250"/>
            </w:pPr>
            <w:r>
              <w:rPr>
                <w:b/>
                <w:bCs/>
                <w:i w:val="false"/>
                <w:iCs w:val="false"/>
                <w:color w:val="33302B"/>
                <w:sz w:val="18"/>
                <w:szCs w:val="18"/>
              </w:rPr>
              <w:t xml:space="preserve">Test</w:t>
            </w:r>
          </w:p>
        </w:tc>
        <w:tc>
          <w:tcPr>
            <w:tcW w:type="dxa" w:w="6980"/>
            <w:shd w:fill="F4F2EE" w:color="auto" w:val="clear"/>
            <w:tcMar>
              <w:top w:type="dxa" w:w="60"/>
              <w:left w:type="dxa" w:w="90"/>
              <w:bottom w:type="dxa" w:w="60"/>
              <w:right w:type="dxa" w:w="90"/>
            </w:tcMar>
          </w:tcPr>
          <w:p>
            <w:pPr>
              <w:spacing w:after="0" w:line="250"/>
            </w:pPr>
            <w:r>
              <w:rPr>
                <w:b/>
                <w:bCs/>
                <w:i w:val="false"/>
                <w:iCs w:val="false"/>
                <w:color w:val="33302B"/>
                <w:sz w:val="18"/>
                <w:szCs w:val="18"/>
              </w:rPr>
              <w:t xml:space="preserve">What it demands</w:t>
            </w:r>
          </w:p>
        </w:tc>
      </w:tr>
      <w:tr>
        <w:tc>
          <w:tcPr>
            <w:tcW w:type="dxa" w:w="7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0</w:t>
            </w:r>
          </w:p>
        </w:tc>
        <w:tc>
          <w:tcPr>
            <w:tcW w:type="dxa" w:w="240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The single-clause specification</w:t>
            </w:r>
          </w:p>
        </w:tc>
        <w:tc>
          <w:tcPr>
            <w:tcW w:type="dxa" w:w="69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Show the crossing, and show what survives it. Pick a real piece of work, make the claimant walk it across a real boundary between two systems, live, and inspect what arrives — the payload alone, or the payload with its meaning, its rights, its record, and its relationship to what the enterprise knows. Everything else in the protocol is this question, factored.</w:t>
            </w:r>
          </w:p>
        </w:tc>
      </w:tr>
      <w:tr>
        <w:tc>
          <w:tcPr>
            <w:tcW w:type="dxa" w:w="7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1</w:t>
            </w:r>
          </w:p>
        </w:tc>
        <w:tc>
          <w:tcPr>
            <w:tcW w:type="dxa" w:w="240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The onboarding test</w:t>
            </w:r>
          </w:p>
        </w:tc>
        <w:tc>
          <w:tcPr>
            <w:tcW w:type="dxa" w:w="69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A new tenant, domain, regulation, model — rows or releases? Follow-up: where does a new agent prove itself? In the application, inside the gates it will live under, or in a development environment — which is a release pipeline confessing under another name.</w:t>
            </w:r>
          </w:p>
        </w:tc>
      </w:tr>
      <w:tr>
        <w:tc>
          <w:tcPr>
            <w:tcW w:type="dxa" w:w="7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2</w:t>
            </w:r>
          </w:p>
        </w:tc>
        <w:tc>
          <w:tcPr>
            <w:tcW w:type="dxa" w:w="240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The address test</w:t>
            </w:r>
          </w:p>
        </w:tc>
        <w:tc>
          <w:tcPr>
            <w:tcW w:type="dxa" w:w="69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One non-negotiable; its physical enforcement point. Disqualify on the word prompt.</w:t>
            </w:r>
          </w:p>
        </w:tc>
      </w:tr>
      <w:tr>
        <w:tc>
          <w:tcPr>
            <w:tcW w:type="dxa" w:w="7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3</w:t>
            </w:r>
          </w:p>
        </w:tc>
        <w:tc>
          <w:tcPr>
            <w:tcW w:type="dxa" w:w="240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The expressibility test</w:t>
            </w:r>
          </w:p>
        </w:tc>
        <w:tc>
          <w:tcPr>
            <w:tcW w:type="dxa" w:w="69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For isolation: have their engineers write the statement that would cross tenants. Isolation that depends on the statement not being written is a policy; isolation where the statement cannot be written is a construction.</w:t>
            </w:r>
          </w:p>
        </w:tc>
      </w:tr>
      <w:tr>
        <w:tc>
          <w:tcPr>
            <w:tcW w:type="dxa" w:w="7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4</w:t>
            </w:r>
          </w:p>
        </w:tc>
        <w:tc>
          <w:tcPr>
            <w:tcW w:type="dxa" w:w="240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The origin test</w:t>
            </w:r>
          </w:p>
        </w:tc>
        <w:tc>
          <w:tcPr>
            <w:tcW w:type="dxa" w:w="69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At the seams: what does the structure know about where a fragment came from, and what is that class permitted to influence?</w:t>
            </w:r>
          </w:p>
        </w:tc>
      </w:tr>
      <w:tr>
        <w:tc>
          <w:tcPr>
            <w:tcW w:type="dxa" w:w="7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5</w:t>
            </w:r>
          </w:p>
        </w:tc>
        <w:tc>
          <w:tcPr>
            <w:tcW w:type="dxa" w:w="240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The dependency census</w:t>
            </w:r>
          </w:p>
        </w:tc>
        <w:tc>
          <w:tcPr>
            <w:tcW w:type="dxa" w:w="69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For sovereignty: the runtime leash list — every party whose availability, pricing or policy the system depends on to function.</w:t>
            </w:r>
          </w:p>
        </w:tc>
      </w:tr>
      <w:tr>
        <w:tc>
          <w:tcPr>
            <w:tcW w:type="dxa" w:w="7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6</w:t>
            </w:r>
          </w:p>
        </w:tc>
        <w:tc>
          <w:tcPr>
            <w:tcW w:type="dxa" w:w="240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The substitution test</w:t>
            </w:r>
          </w:p>
        </w:tc>
        <w:tc>
          <w:tcPr>
            <w:tcW w:type="dxa" w:w="69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The cost of saying no to any single party on that list.</w:t>
            </w:r>
          </w:p>
        </w:tc>
      </w:tr>
      <w:tr>
        <w:tc>
          <w:tcPr>
            <w:tcW w:type="dxa" w:w="7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7</w:t>
            </w:r>
          </w:p>
        </w:tc>
        <w:tc>
          <w:tcPr>
            <w:tcW w:type="dxa" w:w="240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The last-month test</w:t>
            </w:r>
          </w:p>
        </w:tc>
        <w:tc>
          <w:tcPr>
            <w:tcW w:type="dxa" w:w="69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One transaction, full attribution including the rule version in force, by query, verified by someone who distrusts the keeper.</w:t>
            </w:r>
          </w:p>
        </w:tc>
      </w:tr>
      <w:tr>
        <w:tc>
          <w:tcPr>
            <w:tcW w:type="dxa" w:w="7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8</w:t>
            </w:r>
          </w:p>
        </w:tc>
        <w:tc>
          <w:tcPr>
            <w:tcW w:type="dxa" w:w="240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The two-invoices test</w:t>
            </w:r>
          </w:p>
        </w:tc>
        <w:tc>
          <w:tcPr>
            <w:tcW w:type="dxa" w:w="69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One agent, one month, cost and consumption per action, from execution-time records.</w:t>
            </w:r>
          </w:p>
        </w:tc>
      </w:tr>
      <w:tr>
        <w:tc>
          <w:tcPr>
            <w:tcW w:type="dxa" w:w="7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9</w:t>
            </w:r>
          </w:p>
        </w:tc>
        <w:tc>
          <w:tcPr>
            <w:tcW w:type="dxa" w:w="240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The outlive test</w:t>
            </w:r>
          </w:p>
        </w:tc>
        <w:tc>
          <w:tcPr>
            <w:tcW w:type="dxa" w:w="69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The referee question — does the party holding the invariants have a stake among the coordinated? And the turnover question — name a property that has survived the replacement of a component beneath it.</w:t>
            </w:r>
          </w:p>
        </w:tc>
      </w:tr>
    </w:tbl>
    <w:p>
      <w:pPr>
        <w:spacing w:after="140"/>
      </w:pPr>
    </w:p>
    <w:p>
      <w:pPr>
        <w:pStyle w:val="Heading1"/>
        <w:spacing w:after="130" w:before="300"/>
      </w:pPr>
      <w:r>
        <w:rPr>
          <w:b/>
          <w:bCs/>
          <w:color w:val="33302B"/>
          <w:sz w:val="29"/>
          <w:szCs w:val="29"/>
        </w:rPr>
        <w:t xml:space="preserve">The seven exercises</w:t>
      </w:r>
    </w:p>
    <w:p>
      <w:pPr>
        <w:pStyle w:val="Heading2"/>
        <w:spacing w:after="90" w:before="220"/>
      </w:pPr>
      <w:r>
        <w:rPr>
          <w:b/>
          <w:bCs/>
          <w:color w:val="33302B"/>
          <w:sz w:val="23"/>
          <w:szCs w:val="23"/>
        </w:rPr>
        <w:t xml:space="preserve">Exercise 1 · Map your own crossings</w:t>
      </w:r>
    </w:p>
    <w:p>
      <w:pPr>
        <w:spacing w:after="120" w:before="0" w:line="276"/>
      </w:pPr>
      <w:r>
        <w:rPr>
          <w:b w:val="false"/>
          <w:bCs w:val="false"/>
          <w:i w:val="false"/>
          <w:iCs w:val="false"/>
          <w:color w:val="1B1A18"/>
          <w:sz w:val="20"/>
          <w:szCs w:val="20"/>
        </w:rPr>
        <w:t xml:space="preserve">The task. Take a system you know well and may share, suitably anonymised. Map every boundary work passes over, and for each state what the boundary is specified to carry — as observed, not as intended.</w:t>
      </w:r>
    </w:p>
    <w:p>
      <w:pPr>
        <w:spacing w:after="120" w:before="0" w:line="276"/>
      </w:pPr>
      <w:r>
        <w:rPr>
          <w:b w:val="false"/>
          <w:bCs w:val="false"/>
          <w:i w:val="false"/>
          <w:iCs w:val="false"/>
          <w:color w:val="1B1A18"/>
          <w:sz w:val="20"/>
          <w:szCs w:val="20"/>
        </w:rPr>
        <w:t xml:space="preserve">What to produce. A crossing map with at least four boundaries and their required payloads.</w:t>
      </w:r>
    </w:p>
    <w:p>
      <w:pPr>
        <w:spacing w:after="120" w:before="0" w:line="276"/>
      </w:pPr>
      <w:r>
        <w:rPr>
          <w:b w:val="false"/>
          <w:bCs w:val="false"/>
          <w:i w:val="false"/>
          <w:iCs w:val="false"/>
          <w:color w:val="57534A"/>
          <w:sz w:val="20"/>
          <w:szCs w:val="20"/>
        </w:rPr>
        <w:t xml:space="preserve">What good looks like. Boundaries named between systems or parties rather than modules within one system, and payloads stated from what actually arrives. A map drawn from an architecture diagram is half the exercise. If a participant answers that it is all one platform, ask where the instruction originates and where the approval is recorded.</w:t>
      </w:r>
    </w:p>
    <w:p>
      <w:pPr>
        <w:pStyle w:val="Heading2"/>
        <w:spacing w:after="90" w:before="220"/>
      </w:pPr>
      <w:r>
        <w:rPr>
          <w:b/>
          <w:bCs/>
          <w:color w:val="33302B"/>
          <w:sz w:val="23"/>
          <w:szCs w:val="23"/>
        </w:rPr>
        <w:t xml:space="preserve">Exercise 2 · Diagnose from symptoms</w:t>
      </w:r>
    </w:p>
    <w:p>
      <w:pPr>
        <w:spacing w:after="120" w:before="0" w:line="276"/>
      </w:pPr>
      <w:r>
        <w:rPr>
          <w:b w:val="false"/>
          <w:bCs w:val="false"/>
          <w:i w:val="false"/>
          <w:iCs w:val="false"/>
          <w:color w:val="1B1A18"/>
          <w:sz w:val="20"/>
          <w:szCs w:val="20"/>
        </w:rPr>
        <w:t xml:space="preserve">The task. From your own estate, bring three symptoms nobody has satisfactorily explained. Name the property missing in each, and — harder — the crossing where it should have been carried.</w:t>
      </w:r>
    </w:p>
    <w:p>
      <w:pPr>
        <w:spacing w:after="120" w:before="0" w:line="276"/>
      </w:pPr>
      <w:r>
        <w:rPr>
          <w:b w:val="false"/>
          <w:bCs w:val="false"/>
          <w:i w:val="false"/>
          <w:iCs w:val="false"/>
          <w:color w:val="1B1A18"/>
          <w:sz w:val="20"/>
          <w:szCs w:val="20"/>
        </w:rPr>
        <w:t xml:space="preserve">What to produce. Three symptom-to-property-to-crossing chains.</w:t>
      </w:r>
    </w:p>
    <w:p>
      <w:pPr>
        <w:spacing w:after="120" w:before="0" w:line="276"/>
      </w:pPr>
      <w:r>
        <w:rPr>
          <w:b w:val="false"/>
          <w:bCs w:val="false"/>
          <w:i w:val="false"/>
          <w:iCs w:val="false"/>
          <w:color w:val="57534A"/>
          <w:sz w:val="20"/>
          <w:szCs w:val="20"/>
        </w:rPr>
        <w:t xml:space="preserve">What good looks like. The crossing, not the system. Practitioners name properties fluently and locate them badly, and the locating is what the capstone is marked on. Watch for context collapsed into data quality: the tell is that the payload was fine.</w:t>
      </w:r>
    </w:p>
    <w:p>
      <w:pPr>
        <w:pStyle w:val="Heading2"/>
        <w:spacing w:after="90" w:before="220"/>
      </w:pPr>
      <w:r>
        <w:rPr>
          <w:b/>
          <w:bCs/>
          <w:color w:val="33302B"/>
          <w:sz w:val="23"/>
          <w:szCs w:val="23"/>
        </w:rPr>
        <w:t xml:space="preserve">Exercise 3 · The address test</w:t>
      </w:r>
    </w:p>
    <w:p>
      <w:pPr>
        <w:spacing w:after="120" w:before="0" w:line="276"/>
      </w:pPr>
      <w:r>
        <w:rPr>
          <w:b w:val="false"/>
          <w:bCs w:val="false"/>
          <w:i w:val="false"/>
          <w:iCs w:val="false"/>
          <w:color w:val="1B1A18"/>
          <w:sz w:val="20"/>
          <w:szCs w:val="20"/>
        </w:rPr>
        <w:t xml:space="preserve">The task. List the rules in your system that admit no exception. For each, identify the single physical enforcement point through which all subject work passes. Then search for a path that reaches the action without passing it.</w:t>
      </w:r>
    </w:p>
    <w:p>
      <w:pPr>
        <w:spacing w:after="120" w:before="0" w:line="276"/>
      </w:pPr>
      <w:r>
        <w:rPr>
          <w:b w:val="false"/>
          <w:bCs w:val="false"/>
          <w:i w:val="false"/>
          <w:iCs w:val="false"/>
          <w:color w:val="1B1A18"/>
          <w:sz w:val="20"/>
          <w:szCs w:val="20"/>
        </w:rPr>
        <w:t xml:space="preserve">What to produce. A short list of genuine non-negotiables, each with an enforcement point or a recorded absence, plus one bypass search.</w:t>
      </w:r>
    </w:p>
    <w:p>
      <w:pPr>
        <w:spacing w:after="120" w:before="0" w:line="276"/>
      </w:pPr>
      <w:r>
        <w:rPr>
          <w:b w:val="false"/>
          <w:bCs w:val="false"/>
          <w:i w:val="false"/>
          <w:iCs w:val="false"/>
          <w:color w:val="57534A"/>
          <w:sz w:val="20"/>
          <w:szCs w:val="20"/>
        </w:rPr>
        <w:t xml:space="preserve">What good looks like. The list is shorter than participants first claim, and producing the short honest list is most of the value. Any answer whose effect is statistical — a prompt, a fine-tune, a guardrail model — is recorded as unenforced. Asserting that no bypass exists, without searching, scores nothing.</w:t>
      </w:r>
    </w:p>
    <w:p>
      <w:pPr>
        <w:pStyle w:val="Heading2"/>
        <w:spacing w:after="90" w:before="220"/>
      </w:pPr>
      <w:r>
        <w:rPr>
          <w:b/>
          <w:bCs/>
          <w:color w:val="33302B"/>
          <w:sz w:val="23"/>
          <w:szCs w:val="23"/>
        </w:rPr>
        <w:t xml:space="preserve">Exercise 4 · Origin and expressibility</w:t>
      </w:r>
    </w:p>
    <w:p>
      <w:pPr>
        <w:spacing w:after="120" w:before="0" w:line="276"/>
      </w:pPr>
      <w:r>
        <w:rPr>
          <w:b w:val="false"/>
          <w:bCs w:val="false"/>
          <w:i w:val="false"/>
          <w:iCs w:val="false"/>
          <w:color w:val="1B1A18"/>
          <w:sz w:val="20"/>
          <w:szCs w:val="20"/>
        </w:rPr>
        <w:t xml:space="preserve">The task. On one real integration: classify what the structure knows about each fragment reaching a decision point, and what that class may influence. Then write the statement that would cross a tenancy or jurisdictional boundary.</w:t>
      </w:r>
    </w:p>
    <w:p>
      <w:pPr>
        <w:spacing w:after="120" w:before="0" w:line="276"/>
      </w:pPr>
      <w:r>
        <w:rPr>
          <w:b w:val="false"/>
          <w:bCs w:val="false"/>
          <w:i w:val="false"/>
          <w:iCs w:val="false"/>
          <w:color w:val="1B1A18"/>
          <w:sz w:val="20"/>
          <w:szCs w:val="20"/>
        </w:rPr>
        <w:t xml:space="preserve">What to produce. A provenance classification, plus the statement or a demonstration that it cannot be written.</w:t>
      </w:r>
    </w:p>
    <w:p>
      <w:pPr>
        <w:spacing w:after="120" w:before="0" w:line="276"/>
      </w:pPr>
      <w:r>
        <w:rPr>
          <w:b w:val="false"/>
          <w:bCs w:val="false"/>
          <w:i w:val="false"/>
          <w:iCs w:val="false"/>
          <w:color w:val="57534A"/>
          <w:sz w:val="20"/>
          <w:szCs w:val="20"/>
        </w:rPr>
        <w:t xml:space="preserve">What good looks like. The statement usually can be written, and saying so plainly is the deliverable. Isolation that depends on nobody writing it is a policy. On provenance, location is not class.</w:t>
      </w:r>
    </w:p>
    <w:p>
      <w:pPr>
        <w:pStyle w:val="Heading2"/>
        <w:spacing w:after="90" w:before="220"/>
      </w:pPr>
      <w:r>
        <w:rPr>
          <w:b/>
          <w:bCs/>
          <w:color w:val="33302B"/>
          <w:sz w:val="23"/>
          <w:szCs w:val="23"/>
        </w:rPr>
        <w:t xml:space="preserve">Exercise 5 · Ceremony, provenance, and the reconstruction tax</w:t>
      </w:r>
    </w:p>
    <w:p>
      <w:pPr>
        <w:spacing w:after="120" w:before="0" w:line="276"/>
      </w:pPr>
      <w:r>
        <w:rPr>
          <w:b w:val="false"/>
          <w:bCs w:val="false"/>
          <w:i w:val="false"/>
          <w:iCs w:val="false"/>
          <w:color w:val="1B1A18"/>
          <w:sz w:val="20"/>
          <w:szCs w:val="20"/>
        </w:rPr>
        <w:t xml:space="preserve">The task. Design write-ceremony and a provenance scheme for a store your organisation relies on. Then identify the reconstruction tax in one process you own — the meetings, the clarifying threads, the people whose tenure is load-bearing.</w:t>
      </w:r>
    </w:p>
    <w:p>
      <w:pPr>
        <w:spacing w:after="120" w:before="0" w:line="276"/>
      </w:pPr>
      <w:r>
        <w:rPr>
          <w:b w:val="false"/>
          <w:bCs w:val="false"/>
          <w:i w:val="false"/>
          <w:iCs w:val="false"/>
          <w:color w:val="1B1A18"/>
          <w:sz w:val="20"/>
          <w:szCs w:val="20"/>
        </w:rPr>
        <w:t xml:space="preserve">What to produce. A ceremony and provenance design, plus a costed estimate of one reconstruction tax.</w:t>
      </w:r>
    </w:p>
    <w:p>
      <w:pPr>
        <w:spacing w:after="120" w:before="0" w:line="276"/>
      </w:pPr>
      <w:r>
        <w:rPr>
          <w:b w:val="false"/>
          <w:bCs w:val="false"/>
          <w:i w:val="false"/>
          <w:iCs w:val="false"/>
          <w:color w:val="57534A"/>
          <w:sz w:val="20"/>
          <w:szCs w:val="20"/>
        </w:rPr>
        <w:t xml:space="preserve">What good looks like. Ceremony as a property of the store rather than a workflow beside it. On the tax, an estimate in hours per month by role is enough; the point is that it appears in no budget line, which is why it was never engineered away.</w:t>
      </w:r>
    </w:p>
    <w:p>
      <w:pPr>
        <w:pStyle w:val="Heading2"/>
        <w:spacing w:after="90" w:before="220"/>
      </w:pPr>
      <w:r>
        <w:rPr>
          <w:b/>
          <w:bCs/>
          <w:color w:val="33302B"/>
          <w:sz w:val="23"/>
          <w:szCs w:val="23"/>
        </w:rPr>
        <w:t xml:space="preserve">Exercise 6 · Census, substitution, two invoices</w:t>
      </w:r>
    </w:p>
    <w:p>
      <w:pPr>
        <w:spacing w:after="120" w:before="0" w:line="276"/>
      </w:pPr>
      <w:r>
        <w:rPr>
          <w:b w:val="false"/>
          <w:bCs w:val="false"/>
          <w:i w:val="false"/>
          <w:iCs w:val="false"/>
          <w:color w:val="1B1A18"/>
          <w:sz w:val="20"/>
          <w:szCs w:val="20"/>
        </w:rPr>
        <w:t xml:space="preserve">The task. Census every party whose availability, pricing or policy your system relies on. Price substitution for each. Produce cost and consumption per action for one agent over one month, from execution-time records.</w:t>
      </w:r>
    </w:p>
    <w:p>
      <w:pPr>
        <w:spacing w:after="120" w:before="0" w:line="276"/>
      </w:pPr>
      <w:r>
        <w:rPr>
          <w:b w:val="false"/>
          <w:bCs w:val="false"/>
          <w:i w:val="false"/>
          <w:iCs w:val="false"/>
          <w:color w:val="1B1A18"/>
          <w:sz w:val="20"/>
          <w:szCs w:val="20"/>
        </w:rPr>
        <w:t xml:space="preserve">What to produce. A census with substitution costs and one month of per-action figures.</w:t>
      </w:r>
    </w:p>
    <w:p>
      <w:pPr>
        <w:spacing w:after="120" w:before="0" w:line="276"/>
      </w:pPr>
      <w:r>
        <w:rPr>
          <w:b w:val="false"/>
          <w:bCs w:val="false"/>
          <w:i w:val="false"/>
          <w:iCs w:val="false"/>
          <w:color w:val="57534A"/>
          <w:sz w:val="20"/>
          <w:szCs w:val="20"/>
        </w:rPr>
        <w:t xml:space="preserve">What good looks like. A census that reaches the orchestration layer and includes policy dependency — a provider that can change what you are permitted to do with no outage. Ask when the list was last changed; a census assembled for the session is a different artefact from one maintained. Expect the two-invoices test to fail, and use the failure: the absent record that hides cost hides exposure.</w:t>
      </w:r>
    </w:p>
    <w:p>
      <w:pPr>
        <w:pStyle w:val="Heading2"/>
        <w:spacing w:after="90" w:before="220"/>
      </w:pPr>
      <w:r>
        <w:rPr>
          <w:b/>
          <w:bCs/>
          <w:color w:val="33302B"/>
          <w:sz w:val="23"/>
          <w:szCs w:val="23"/>
        </w:rPr>
        <w:t xml:space="preserve">Exercise 7 · The full protocol, on neutral ground</w:t>
      </w:r>
    </w:p>
    <w:p>
      <w:pPr>
        <w:spacing w:after="120" w:before="0" w:line="276"/>
      </w:pPr>
      <w:r>
        <w:rPr>
          <w:b w:val="false"/>
          <w:bCs w:val="false"/>
          <w:i w:val="false"/>
          <w:iCs w:val="false"/>
          <w:color w:val="1B1A18"/>
          <w:sz w:val="20"/>
          <w:szCs w:val="20"/>
        </w:rPr>
        <w:t xml:space="preserve">The task. Run all ten items against the supplied reference case below, not against your own system. Record a verdict per item: demonstrated, not demonstrated, or not applicable.</w:t>
      </w:r>
    </w:p>
    <w:p>
      <w:pPr>
        <w:spacing w:after="120" w:before="0" w:line="276"/>
      </w:pPr>
      <w:r>
        <w:rPr>
          <w:b w:val="false"/>
          <w:bCs w:val="false"/>
          <w:i w:val="false"/>
          <w:iCs w:val="false"/>
          <w:color w:val="1B1A18"/>
          <w:sz w:val="20"/>
          <w:szCs w:val="20"/>
        </w:rPr>
        <w:t xml:space="preserve">What to produce. Ten verdicts with what was observed for each.</w:t>
      </w:r>
    </w:p>
    <w:p>
      <w:pPr>
        <w:spacing w:after="120" w:before="0" w:line="276"/>
      </w:pPr>
      <w:r>
        <w:rPr>
          <w:b w:val="false"/>
          <w:bCs w:val="false"/>
          <w:i w:val="false"/>
          <w:iCs w:val="false"/>
          <w:color w:val="57534A"/>
          <w:sz w:val="20"/>
          <w:szCs w:val="20"/>
        </w:rPr>
        <w:t xml:space="preserve">What good looks like. Verdicts grounded in the case document rather than inferred from its tone. Three verdicts only — no partial credit and nothing for an intention. Running on neutral ground first is deliberate: it rehearses the protocol before participants turn it on an employer, and it makes the capstone’s inward turn easier to ask for.</w:t>
      </w:r>
    </w:p>
    <w:p>
      <w:pPr>
        <w:pStyle w:val="Heading1"/>
        <w:spacing w:after="130" w:before="300"/>
      </w:pPr>
      <w:r>
        <w:rPr>
          <w:b/>
          <w:bCs/>
          <w:color w:val="33302B"/>
          <w:sz w:val="29"/>
          <w:szCs w:val="29"/>
        </w:rPr>
        <w:t xml:space="preserve">Supplied reference case · Northgate Orchestrate</w:t>
      </w:r>
    </w:p>
    <w:tbl>
      <w:tblPr>
        <w:tblW w:type="dxa" w:w="10080"/>
        <w:tblBorders>
          <w:top w:val="single" w:color="D6D2C9" w:sz="4"/>
          <w:left w:val="single" w:color="8A8378" w:sz="12"/>
          <w:bottom w:val="single" w:color="D6D2C9" w:sz="4"/>
          <w:right w:val="single" w:color="D6D2C9" w:sz="4"/>
          <w:insideH w:val="none"/>
          <w:insideV w:val="none"/>
        </w:tblBorders>
      </w:tblPr>
      <w:tblGrid>
        <w:gridCol w:w="10080"/>
      </w:tblGrid>
      <w:tr>
        <w:tc>
          <w:tcPr>
            <w:tcW w:type="dxa" w:w="10080"/>
            <w:shd w:fill="F4F2EE" w:color="auto" w:val="clear"/>
            <w:tcMar>
              <w:top w:type="dxa" w:w="120"/>
              <w:left w:type="dxa" w:w="160"/>
              <w:bottom w:type="dxa" w:w="120"/>
              <w:right w:type="dxa" w:w="160"/>
            </w:tcMar>
          </w:tcPr>
          <w:p>
            <w:pPr>
              <w:spacing w:after="0" w:line="264"/>
            </w:pPr>
            <w:r>
              <w:rPr>
                <w:b/>
                <w:bCs/>
                <w:color w:val="1B1A18"/>
                <w:sz w:val="20"/>
                <w:szCs w:val="20"/>
              </w:rPr>
              <w:t xml:space="preserve">Constructed, and to be described as such. </w:t>
            </w:r>
            <w:r>
              <w:rPr>
                <w:color w:val="1B1A18"/>
                <w:sz w:val="20"/>
                <w:szCs w:val="20"/>
              </w:rPr>
              <w:t xml:space="preserve">Northgate Orchestrate is invented. No vendor of that or any similar name is intended, and nothing here describes a real product. It exists so that a participant who brings nothing can still run every exercise, and so that the full protocol can be rehearsed on neutral ground. Failures are planted deliberately; a facilitator who has read the notes below knows where they are.</w:t>
            </w:r>
          </w:p>
        </w:tc>
      </w:tr>
    </w:tbl>
    <w:p>
      <w:pPr>
        <w:spacing w:after="120" w:before="0" w:line="276"/>
      </w:pPr>
      <w:r>
        <w:rPr>
          <w:b w:val="false"/>
          <w:bCs w:val="false"/>
          <w:i w:val="false"/>
          <w:iCs w:val="false"/>
          <w:color w:val="1B1A18"/>
          <w:sz w:val="20"/>
          <w:szCs w:val="20"/>
        </w:rPr>
        <w:t xml:space="preserve">Northgate Orchestrate is presented as an agentic operations platform for mid-sized lenders. The vendor materials state the following.</w:t>
      </w:r>
    </w:p>
    <w:p>
      <w:pPr>
        <w:pStyle w:val="ListParagraph"/>
        <w:numPr>
          <w:ilvl w:val="0"/>
          <w:numId w:val="2"/>
        </w:numPr>
        <w:spacing w:after="70" w:line="276"/>
      </w:pPr>
      <w:r>
        <w:rPr>
          <w:color w:val="1B1A18"/>
          <w:sz w:val="20"/>
          <w:szCs w:val="20"/>
        </w:rPr>
        <w:t xml:space="preserve">Agents originate, assess and action lending operations tasks: document collection, affordability checks, arrears outreach, and hardship referrals.</w:t>
      </w:r>
    </w:p>
    <w:p>
      <w:pPr>
        <w:pStyle w:val="ListParagraph"/>
        <w:numPr>
          <w:ilvl w:val="0"/>
          <w:numId w:val="2"/>
        </w:numPr>
        <w:spacing w:after="70" w:line="276"/>
      </w:pPr>
      <w:r>
        <w:rPr>
          <w:color w:val="1B1A18"/>
          <w:sz w:val="20"/>
          <w:szCs w:val="20"/>
        </w:rPr>
        <w:t xml:space="preserve">It integrates with three named core banking platforms and with the customer’s document store, and is deployed as a managed service in the vendor’s cloud tenancy.</w:t>
      </w:r>
    </w:p>
    <w:p>
      <w:pPr>
        <w:pStyle w:val="ListParagraph"/>
        <w:numPr>
          <w:ilvl w:val="0"/>
          <w:numId w:val="2"/>
        </w:numPr>
        <w:spacing w:after="70" w:line="276"/>
      </w:pPr>
      <w:r>
        <w:rPr>
          <w:color w:val="1B1A18"/>
          <w:sz w:val="20"/>
          <w:szCs w:val="20"/>
        </w:rPr>
        <w:t xml:space="preserve">Policy is expressed in a natural-language policy pack maintained by the customer and supplied to the agents at runtime. The vendor describes this as making the platform "instantly reconfigurable, with no release cycle."</w:t>
      </w:r>
    </w:p>
    <w:p>
      <w:pPr>
        <w:pStyle w:val="ListParagraph"/>
        <w:numPr>
          <w:ilvl w:val="0"/>
          <w:numId w:val="2"/>
        </w:numPr>
        <w:spacing w:after="70" w:line="276"/>
      </w:pPr>
      <w:r>
        <w:rPr>
          <w:color w:val="1B1A18"/>
          <w:sz w:val="20"/>
          <w:szCs w:val="20"/>
        </w:rPr>
        <w:t xml:space="preserve">Hardship referrals must never be actioned automatically. The vendor states that the agents are instructed accordingly and that a monitoring model samples decisions for compliance, achieving 99.7% adherence in internal testing.</w:t>
      </w:r>
    </w:p>
    <w:p>
      <w:pPr>
        <w:pStyle w:val="ListParagraph"/>
        <w:numPr>
          <w:ilvl w:val="0"/>
          <w:numId w:val="2"/>
        </w:numPr>
        <w:spacing w:after="70" w:line="276"/>
      </w:pPr>
      <w:r>
        <w:rPr>
          <w:color w:val="1B1A18"/>
          <w:sz w:val="20"/>
          <w:szCs w:val="20"/>
        </w:rPr>
        <w:t xml:space="preserve">A full audit log is available, described as capturing "every agent action, with timestamps and outcomes," retained for thirteen months and exportable as CSV on request to the vendor.</w:t>
      </w:r>
    </w:p>
    <w:p>
      <w:pPr>
        <w:pStyle w:val="ListParagraph"/>
        <w:numPr>
          <w:ilvl w:val="0"/>
          <w:numId w:val="2"/>
        </w:numPr>
        <w:spacing w:after="70" w:line="276"/>
      </w:pPr>
      <w:r>
        <w:rPr>
          <w:color w:val="1B1A18"/>
          <w:sz w:val="20"/>
          <w:szCs w:val="20"/>
        </w:rPr>
        <w:t xml:space="preserve">Tenant separation is enforced by a data access layer, and the vendor holds a current certification covering it.</w:t>
      </w:r>
    </w:p>
    <w:p>
      <w:pPr>
        <w:pStyle w:val="ListParagraph"/>
        <w:numPr>
          <w:ilvl w:val="0"/>
          <w:numId w:val="2"/>
        </w:numPr>
        <w:spacing w:after="70" w:line="276"/>
      </w:pPr>
      <w:r>
        <w:rPr>
          <w:color w:val="1B1A18"/>
          <w:sz w:val="20"/>
          <w:szCs w:val="20"/>
        </w:rPr>
        <w:t xml:space="preserve">The platform is model-agnostic; the vendor selects models per task for cost and quality and reserves the right to change them without notice.</w:t>
      </w:r>
    </w:p>
    <w:p>
      <w:pPr>
        <w:pStyle w:val="ListParagraph"/>
        <w:numPr>
          <w:ilvl w:val="0"/>
          <w:numId w:val="2"/>
        </w:numPr>
        <w:spacing w:after="70" w:line="276"/>
      </w:pPr>
      <w:r>
        <w:rPr>
          <w:color w:val="1B1A18"/>
          <w:sz w:val="20"/>
          <w:szCs w:val="20"/>
        </w:rPr>
        <w:t xml:space="preserve">Pricing is per seat, per month, with a fair-use allowance on agent actions. The vendor states that per-action costs are "not meaningfully attributable" because of shared inference capacity.</w:t>
      </w:r>
    </w:p>
    <w:p>
      <w:pPr>
        <w:pStyle w:val="ListParagraph"/>
        <w:numPr>
          <w:ilvl w:val="0"/>
          <w:numId w:val="2"/>
        </w:numPr>
        <w:spacing w:after="70" w:line="276"/>
      </w:pPr>
      <w:r>
        <w:rPr>
          <w:color w:val="1B1A18"/>
          <w:sz w:val="20"/>
          <w:szCs w:val="20"/>
        </w:rPr>
        <w:t xml:space="preserve">A new lender is onboarded in six to eight weeks, of which four are described as configuration and two to four as "customer-specific enablement."</w:t>
      </w:r>
    </w:p>
    <w:p>
      <w:pPr>
        <w:pStyle w:val="ListParagraph"/>
        <w:numPr>
          <w:ilvl w:val="0"/>
          <w:numId w:val="2"/>
        </w:numPr>
        <w:spacing w:after="70" w:line="276"/>
      </w:pPr>
      <w:r>
        <w:rPr>
          <w:color w:val="1B1A18"/>
          <w:sz w:val="20"/>
          <w:szCs w:val="20"/>
        </w:rPr>
        <w:t xml:space="preserve">New agents are validated in a staging environment before promotion to production.</w:t>
      </w:r>
    </w:p>
    <w:p>
      <w:pPr>
        <w:spacing w:after="70" w:before="160"/>
      </w:pPr>
      <w:r>
        <w:rPr>
          <w:b/>
          <w:bCs/>
          <w:color w:val="57534A"/>
          <w:sz w:val="20"/>
          <w:szCs w:val="20"/>
        </w:rPr>
        <w:t xml:space="preserve">Facilitator notes — where the planted failures are</w:t>
      </w:r>
    </w:p>
    <w:p>
      <w:pPr>
        <w:spacing w:after="120" w:before="0" w:line="276"/>
      </w:pPr>
      <w:r>
        <w:rPr>
          <w:b w:val="false"/>
          <w:bCs w:val="false"/>
          <w:i w:val="false"/>
          <w:iCs w:val="false"/>
          <w:color w:val="1B1A18"/>
          <w:sz w:val="20"/>
          <w:szCs w:val="20"/>
        </w:rPr>
        <w:t xml:space="preserve">Do not distribute this section. Each note maps to a protocol item so that a debrief can be structured against the ten verdicts.</w:t>
      </w:r>
    </w:p>
    <w:p>
      <w:pPr>
        <w:pStyle w:val="ListParagraph"/>
        <w:numPr>
          <w:ilvl w:val="0"/>
          <w:numId w:val="2"/>
        </w:numPr>
        <w:spacing w:after="70" w:line="276"/>
      </w:pPr>
      <w:r>
        <w:rPr>
          <w:b/>
          <w:bCs/>
          <w:color w:val="1B1A18"/>
          <w:sz w:val="20"/>
          <w:szCs w:val="20"/>
        </w:rPr>
        <w:t xml:space="preserve">Item 2, address test. </w:t>
      </w:r>
      <w:r>
        <w:rPr>
          <w:color w:val="1B1A18"/>
          <w:sz w:val="20"/>
          <w:szCs w:val="20"/>
        </w:rPr>
        <w:t xml:space="preserve">The hardship non-negotiable rests on instruction plus a sampling monitor. The 99.7% figure is the confession: a rule that admits no exception has no adherence rate. Expect participants to be impressed by the number until someone does the modality arithmetic.</w:t>
      </w:r>
    </w:p>
    <w:p>
      <w:pPr>
        <w:pStyle w:val="ListParagraph"/>
        <w:numPr>
          <w:ilvl w:val="0"/>
          <w:numId w:val="2"/>
        </w:numPr>
        <w:spacing w:after="70" w:line="276"/>
      </w:pPr>
      <w:r>
        <w:rPr>
          <w:b/>
          <w:bCs/>
          <w:color w:val="1B1A18"/>
          <w:sz w:val="20"/>
          <w:szCs w:val="20"/>
        </w:rPr>
        <w:t xml:space="preserve">Item 0 and item 4. </w:t>
      </w:r>
      <w:r>
        <w:rPr>
          <w:color w:val="1B1A18"/>
          <w:sz w:val="20"/>
          <w:szCs w:val="20"/>
        </w:rPr>
        <w:t xml:space="preserve">The policy pack is natural language supplied at runtime, so the policy is an input to a probabilistic component rather than an enforced constraint — and nothing in the materials says what provenance class the pack carries relative to a document from the customer’s own store.</w:t>
      </w:r>
    </w:p>
    <w:p>
      <w:pPr>
        <w:pStyle w:val="ListParagraph"/>
        <w:numPr>
          <w:ilvl w:val="0"/>
          <w:numId w:val="2"/>
        </w:numPr>
        <w:spacing w:after="70" w:line="276"/>
      </w:pPr>
      <w:r>
        <w:rPr>
          <w:b/>
          <w:bCs/>
          <w:color w:val="1B1A18"/>
          <w:sz w:val="20"/>
          <w:szCs w:val="20"/>
        </w:rPr>
        <w:t xml:space="preserve">Item 7, last month. </w:t>
      </w:r>
      <w:r>
        <w:rPr>
          <w:color w:val="1B1A18"/>
          <w:sz w:val="20"/>
          <w:szCs w:val="20"/>
        </w:rPr>
        <w:t xml:space="preserve">The log captures actions, timestamps and outcomes. It does not capture the authority relied upon or the policy version in force, and export is by request to the vendor — so the record is neither complete by construction nor verifiable by a party who distrusts the keeper.</w:t>
      </w:r>
    </w:p>
    <w:p>
      <w:pPr>
        <w:pStyle w:val="ListParagraph"/>
        <w:numPr>
          <w:ilvl w:val="0"/>
          <w:numId w:val="2"/>
        </w:numPr>
        <w:spacing w:after="70" w:line="276"/>
      </w:pPr>
      <w:r>
        <w:rPr>
          <w:b/>
          <w:bCs/>
          <w:color w:val="1B1A18"/>
          <w:sz w:val="20"/>
          <w:szCs w:val="20"/>
        </w:rPr>
        <w:t xml:space="preserve">Item 8, two invoices. </w:t>
      </w:r>
      <w:r>
        <w:rPr>
          <w:color w:val="1B1A18"/>
          <w:sz w:val="20"/>
          <w:szCs w:val="20"/>
        </w:rPr>
        <w:t xml:space="preserve">"Not meaningfully attributable" is the pricing-opacity trap stated openly. Draw the inference in the debrief: the same absent record hides exposure per action.</w:t>
      </w:r>
    </w:p>
    <w:p>
      <w:pPr>
        <w:pStyle w:val="ListParagraph"/>
        <w:numPr>
          <w:ilvl w:val="0"/>
          <w:numId w:val="2"/>
        </w:numPr>
        <w:spacing w:after="70" w:line="276"/>
      </w:pPr>
      <w:r>
        <w:rPr>
          <w:b/>
          <w:bCs/>
          <w:color w:val="1B1A18"/>
          <w:sz w:val="20"/>
          <w:szCs w:val="20"/>
        </w:rPr>
        <w:t xml:space="preserve">Item 3, expressibility. </w:t>
      </w:r>
      <w:r>
        <w:rPr>
          <w:color w:val="1B1A18"/>
          <w:sz w:val="20"/>
          <w:szCs w:val="20"/>
        </w:rPr>
        <w:t xml:space="preserve">Tenant separation is a data access layer plus a certification — a control and an attestation, not a construction. The exercise is to ask whether the cross-tenant statement can be written, which the materials do not answer either way. "Not demonstrated" is the correct verdict, and participants should resist inferring a failure the document does not establish.</w:t>
      </w:r>
    </w:p>
    <w:p>
      <w:pPr>
        <w:pStyle w:val="ListParagraph"/>
        <w:numPr>
          <w:ilvl w:val="0"/>
          <w:numId w:val="2"/>
        </w:numPr>
        <w:spacing w:after="70" w:line="276"/>
      </w:pPr>
      <w:r>
        <w:rPr>
          <w:b/>
          <w:bCs/>
          <w:color w:val="1B1A18"/>
          <w:sz w:val="20"/>
          <w:szCs w:val="20"/>
        </w:rPr>
        <w:t xml:space="preserve">Item 1, onboarding. </w:t>
      </w:r>
      <w:r>
        <w:rPr>
          <w:color w:val="1B1A18"/>
          <w:sz w:val="20"/>
          <w:szCs w:val="20"/>
        </w:rPr>
        <w:t xml:space="preserve">Two to four weeks of customer-specific enablement inside a six-to-eight week onboarding is a fork with a friendly name. And new agents prove themselves in staging, which is a release pipeline confessing under another name.</w:t>
      </w:r>
    </w:p>
    <w:p>
      <w:pPr>
        <w:pStyle w:val="ListParagraph"/>
        <w:numPr>
          <w:ilvl w:val="0"/>
          <w:numId w:val="2"/>
        </w:numPr>
        <w:spacing w:after="70" w:line="276"/>
      </w:pPr>
      <w:r>
        <w:rPr>
          <w:b/>
          <w:bCs/>
          <w:color w:val="1B1A18"/>
          <w:sz w:val="20"/>
          <w:szCs w:val="20"/>
        </w:rPr>
        <w:t xml:space="preserve">Items 5 and 6, dependency and substitution. </w:t>
      </w:r>
      <w:r>
        <w:rPr>
          <w:color w:val="1B1A18"/>
          <w:sz w:val="20"/>
          <w:szCs w:val="20"/>
        </w:rPr>
        <w:t xml:space="preserve">Model selection is the vendor’s, changeable without notice, on shared inference capacity in the vendor’s tenancy. The census must include the model providers the customer never chose, and substitution cost is unanswerable from the document — which is itself the finding.</w:t>
      </w:r>
    </w:p>
    <w:p>
      <w:pPr>
        <w:pStyle w:val="ListParagraph"/>
        <w:numPr>
          <w:ilvl w:val="0"/>
          <w:numId w:val="2"/>
        </w:numPr>
        <w:spacing w:after="70" w:line="276"/>
      </w:pPr>
      <w:r>
        <w:rPr>
          <w:b/>
          <w:bCs/>
          <w:color w:val="1B1A18"/>
          <w:sz w:val="20"/>
          <w:szCs w:val="20"/>
        </w:rPr>
        <w:t xml:space="preserve">Item 9, outlive. </w:t>
      </w:r>
      <w:r>
        <w:rPr>
          <w:color w:val="1B1A18"/>
          <w:sz w:val="20"/>
          <w:szCs w:val="20"/>
        </w:rPr>
        <w:t xml:space="preserve">Nothing in the materials answers the referee question or names a property that survived a component replacement. Both are legitimate "not demonstrated" verdicts, and a cohort that invents answers here has misunderstood the exercise.</w:t>
      </w:r>
    </w:p>
    <w:p>
      <w:pPr>
        <w:spacing w:after="120" w:before="60" w:line="276"/>
      </w:pPr>
      <w:r>
        <w:rPr>
          <w:b w:val="false"/>
          <w:bCs w:val="false"/>
          <w:i w:val="false"/>
          <w:iCs w:val="false"/>
          <w:color w:val="1B1A18"/>
          <w:sz w:val="20"/>
          <w:szCs w:val="20"/>
        </w:rPr>
        <w:t xml:space="preserve">One caution for the debrief: the case is constructed so that most items fail, which is not how a real evaluation usually goes. Say so. A protocol that always fails everything teaches cynicism rather than judgement, and the point is the verdicts, not the score.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color w:val="6E6A62"/>
        <w:sz w:val="16"/>
        <w:szCs w:val="16"/>
      </w:rPr>
      <w:t xml:space="preserve">MZ-EDU-WB-PCERT v2.0  •  workbook · self-contained — reference case supplied  •  Page </w:t>
    </w:r>
    <w:r>
      <w:rPr>
        <w:color w:val="6E6A6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color w:val="6E6A62"/>
        <w:sz w:val="16"/>
        <w:szCs w:val="16"/>
      </w:rPr>
      <w:t xml:space="preserve">PCert applied exercise workbook · self-contained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lvl w:ilvl="1" w15:tentative="1">
      <w:start w:val="1"/>
      <w:numFmt w:val="bullet"/>
      <w:lvlText w:val="–"/>
      <w:lvlJc w:val="left"/>
      <w:pPr>
        <w:ind w:left="680" w:hanging="200"/>
      </w:pPr>
    </w:lvl>
  </w:abstractNum>
  <w:abstractNum w:abstractNumId="3" w15:restartNumberingAfterBreak="0">
    <w:multiLevelType w:val="hybridMultilevel"/>
    <w:lvl w:ilvl="0" w15:tentative="1">
      <w:start w:val="1"/>
      <w:numFmt w:val="decimal"/>
      <w:lvlText w:val="%1."/>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B1A18"/>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Georgia" w:cs="Georgia" w:eastAsia="Georgia" w:hAnsi="Georgia"/>
      <w:b/>
      <w:bCs/>
      <w:color w:val="33302B"/>
      <w:sz w:val="29"/>
      <w:szCs w:val="29"/>
    </w:rPr>
  </w:style>
  <w:style w:type="paragraph" w:styleId="Heading2">
    <w:name w:val="Heading 2"/>
    <w:basedOn w:val="Normal"/>
    <w:next w:val="Normal"/>
    <w:qFormat/>
    <w:rPr>
      <w:rFonts w:ascii="Georgia" w:cs="Georgia" w:eastAsia="Georgia" w:hAnsi="Georgia"/>
      <w:b/>
      <w:bCs/>
      <w:color w:val="33302B"/>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2026-08-19T18:37:40.275Z</dcterms:created>
  <dcterms:modified xsi:type="dcterms:W3CDTF">2026-08-19T18:37:40.275Z</dcterms:modified>
</cp:coreProperties>
</file>

<file path=docProps/custom.xml><?xml version="1.0" encoding="utf-8"?>
<Properties xmlns="http://schemas.openxmlformats.org/officeDocument/2006/custom-properties" xmlns:vt="http://schemas.openxmlformats.org/officeDocument/2006/docPropsVTypes"/>
</file>