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500"/>
      </w:pPr>
      <w:r>
        <w:rPr>
          <w:b/>
          <w:bCs/>
          <w:caps/>
          <w:color w:val="33302B"/>
          <w:spacing w:val="40"/>
          <w:sz w:val="21"/>
          <w:szCs w:val="21"/>
        </w:rPr>
        <w:t xml:space="preserve">Reusable instrument</w:t>
      </w:r>
    </w:p>
    <w:p>
      <w:pPr>
        <w:pBdr>
          <w:bottom w:val="single" w:color="33302B" w:sz="12"/>
        </w:pBdr>
        <w:spacing w:after="120"/>
      </w:pPr>
      <w:r>
        <w:rPr>
          <w:b/>
          <w:bCs/>
          <w:color w:val="1B1A18"/>
          <w:sz w:val="45"/>
          <w:szCs w:val="45"/>
        </w:rPr>
        <w:t xml:space="preserve">Evaluation &amp; Remediation Toolkit</w:t>
      </w:r>
    </w:p>
    <w:p>
      <w:pPr>
        <w:spacing w:after="300" w:before="140"/>
      </w:pPr>
      <w:r>
        <w:rPr>
          <w:i/>
          <w:iCs/>
          <w:color w:val="6E6A62"/>
          <w:sz w:val="23"/>
          <w:szCs w:val="23"/>
        </w:rPr>
        <w:t xml:space="preserve">The scorecard, the crossing map, and the remediation plan — templates you keep</w:t>
      </w:r>
    </w:p>
    <w:p>
      <w:pPr>
        <w:spacing w:after="40" w:line="276"/>
      </w:pPr>
      <w:r>
        <w:rPr>
          <w:b/>
          <w:bCs/>
          <w:color w:val="1B1A18"/>
          <w:sz w:val="20"/>
          <w:szCs w:val="20"/>
        </w:rPr>
        <w:t xml:space="preserve">Programme: </w:t>
      </w:r>
      <w:r>
        <w:rPr>
          <w:color w:val="1B1A18"/>
          <w:sz w:val="20"/>
          <w:szCs w:val="20"/>
        </w:rPr>
        <w:t xml:space="preserve">The Custody Architect (Professional Certificate)</w:t>
      </w:r>
    </w:p>
    <w:p>
      <w:pPr>
        <w:spacing w:after="40" w:line="276"/>
      </w:pPr>
      <w:r>
        <w:rPr>
          <w:b/>
          <w:bCs/>
          <w:color w:val="1B1A18"/>
          <w:sz w:val="20"/>
          <w:szCs w:val="20"/>
        </w:rPr>
        <w:t xml:space="preserve">Source text: </w:t>
      </w:r>
      <w:r>
        <w:rPr>
          <w:i/>
          <w:iCs/>
          <w:color w:val="1B1A18"/>
          <w:sz w:val="20"/>
          <w:szCs w:val="20"/>
        </w:rPr>
        <w:t xml:space="preserve">What the Structure Does Not Carry</w:t>
      </w:r>
      <w:r>
        <w:rPr>
          <w:color w:val="1B1A18"/>
          <w:sz w:val="20"/>
          <w:szCs w:val="20"/>
        </w:rPr>
        <w:t xml:space="preserve"> — Georg Zangl (2026)</w:t>
      </w:r>
    </w:p>
    <w:p>
      <w:pPr>
        <w:spacing w:after="300" w:line="276"/>
      </w:pPr>
      <w:r>
        <w:rPr>
          <w:b/>
          <w:bCs/>
          <w:color w:val="1B1A18"/>
          <w:sz w:val="20"/>
          <w:szCs w:val="20"/>
        </w:rPr>
        <w:t xml:space="preserve">Facilitator: </w:t>
      </w:r>
      <w:r>
        <w:rPr>
          <w:color w:val="1B1A18"/>
          <w:sz w:val="20"/>
          <w:szCs w:val="20"/>
        </w:rPr>
        <w:t xml:space="preserve">[Facilitator name]     </w:t>
      </w:r>
      <w:r>
        <w:rPr>
          <w:b/>
          <w:bCs/>
          <w:color w:val="1B1A18"/>
          <w:sz w:val="20"/>
          <w:szCs w:val="20"/>
        </w:rPr>
        <w:t xml:space="preserve">Cohort: </w:t>
      </w:r>
      <w:r>
        <w:rPr>
          <w:color w:val="1B1A18"/>
          <w:sz w:val="20"/>
          <w:szCs w:val="20"/>
        </w:rPr>
        <w:t xml:space="preserve">[Cohort / dates]</w:t>
      </w:r>
    </w:p>
    <w:p>
      <w:pPr>
        <w:spacing w:after="110" w:line="276"/>
      </w:pPr>
      <w:r>
        <w:rPr>
          <w:i/>
          <w:iCs/>
          <w:color w:val="6E6A62"/>
          <w:sz w:val="20"/>
          <w:szCs w:val="20"/>
        </w:rPr>
        <w:t xml:space="preserve">This toolkit is the instrument you take away and use at work long after the cohort ends. It has three templates — a nine-test scorecard, a property-by-crossing map, and a remediation plan — plus a short worked example. Together they turn the book’s evaluation protocol into a repeatable review you can run against any agentic system in a working day, with no source code and no goodwill.</w:t>
      </w:r>
    </w:p>
    <w:p>
      <w:pPr>
        <w:pStyle w:val="Heading1"/>
        <w:spacing w:after="130" w:before="300"/>
      </w:pPr>
      <w:r>
        <w:rPr>
          <w:b/>
          <w:bCs/>
          <w:color w:val="33302B"/>
          <w:sz w:val="29"/>
          <w:szCs w:val="29"/>
        </w:rPr>
        <w:t xml:space="preserve">1 · The single-clause specification</w:t>
      </w:r>
    </w:p>
    <w:p>
      <w:pPr>
        <w:spacing w:after="110" w:line="276"/>
      </w:pPr>
      <w:r>
        <w:rPr>
          <w:b/>
          <w:bCs/>
          <w:color w:val="1B1A18"/>
          <w:sz w:val="20"/>
          <w:szCs w:val="20"/>
        </w:rPr>
        <w:t xml:space="preserve">Show the crossing, and show what survives it.  </w:t>
      </w:r>
      <w:r>
        <w:rPr>
          <w:color w:val="1B1A18"/>
          <w:sz w:val="20"/>
          <w:szCs w:val="20"/>
        </w:rPr>
        <w:t xml:space="preserve">Pick a real piece of work; make the system walk it across a real boundary, live; and inspect what arrives — the payload alone, or the payload with its meaning, its rights, its record, and its relationship to what the enterprise knows. Every test below is this question, factored.</w:t>
      </w:r>
    </w:p>
    <w:p>
      <w:pPr>
        <w:pStyle w:val="Heading1"/>
        <w:spacing w:after="130" w:before="300"/>
      </w:pPr>
      <w:r>
        <w:rPr>
          <w:b/>
          <w:bCs/>
          <w:color w:val="33302B"/>
          <w:sz w:val="29"/>
          <w:szCs w:val="29"/>
        </w:rPr>
        <w:t xml:space="preserve">2 · The nine-test scorecard (template)</w:t>
      </w:r>
    </w:p>
    <w:p>
      <w:pPr>
        <w:spacing w:after="110" w:line="276"/>
      </w:pPr>
      <w:r>
        <w:rPr>
          <w:i/>
          <w:iCs/>
          <w:color w:val="6E6A62"/>
          <w:sz w:val="20"/>
          <w:szCs w:val="20"/>
        </w:rPr>
        <w:t xml:space="preserve">Record a verdict (Pass / Partial / Fail) and the evidence you actually observed — not what was claimed. A ‘Pass’ with no observed demonstration is not a pass.</w:t>
      </w:r>
    </w:p>
    <w:tbl>
      <w:tblPr>
        <w:tblW w:type="dxa" w:w="10080"/>
        <w:tblBorders>
          <w:top w:val="single" w:color="D6D2C9" w:sz="4"/>
          <w:left w:val="single" w:color="D6D2C9" w:sz="4"/>
          <w:bottom w:val="single" w:color="D6D2C9" w:sz="4"/>
          <w:right w:val="single" w:color="D6D2C9" w:sz="4"/>
          <w:insideH w:val="single" w:color="D6D2C9" w:sz="4"/>
          <w:insideV w:val="single" w:color="D6D2C9" w:sz="4"/>
        </w:tblBorders>
      </w:tblPr>
      <w:tblGrid>
        <w:gridCol w:w="450"/>
        <w:gridCol w:w="5200"/>
        <w:gridCol w:w="1900"/>
        <w:gridCol w:w="2530"/>
      </w:tblGrid>
      <w:tr>
        <w:trPr>
          <w:tblHeader/>
        </w:trPr>
        <w:tc>
          <w:tcPr>
            <w:tcW w:type="dxa" w:w="45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20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190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  <w:tc>
          <w:tcPr>
            <w:tcW w:type="dxa" w:w="253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Evidence observed / gap</w:t>
            </w:r>
          </w:p>
        </w:tc>
      </w:tr>
      <w:tr>
        <w:tc>
          <w:tcPr>
            <w:tcW w:type="dxa" w:w="4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1</w:t>
            </w:r>
          </w:p>
        </w:tc>
        <w:tc>
          <w:tcPr>
            <w:tcW w:type="dxa" w:w="5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Onboarding — add a tenant/regulation live: rows, or a release?</w:t>
            </w:r>
          </w:p>
        </w:tc>
        <w:tc>
          <w:tcPr>
            <w:tcW w:type="dxa" w:w="19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▢ P ▢ Partial ▢ F</w:t>
            </w:r>
          </w:p>
        </w:tc>
        <w:tc>
          <w:tcPr>
            <w:tcW w:type="dxa" w:w="253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2</w:t>
            </w:r>
          </w:p>
        </w:tc>
        <w:tc>
          <w:tcPr>
            <w:tcW w:type="dxa" w:w="52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Where-proven — a new agent proves itself inside its real gates?</w:t>
            </w:r>
          </w:p>
        </w:tc>
        <w:tc>
          <w:tcPr>
            <w:tcW w:type="dxa" w:w="19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▢ P ▢ Partial ▢ F</w:t>
            </w:r>
          </w:p>
        </w:tc>
        <w:tc>
          <w:tcPr>
            <w:tcW w:type="dxa" w:w="253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3</w:t>
            </w:r>
          </w:p>
        </w:tc>
        <w:tc>
          <w:tcPr>
            <w:tcW w:type="dxa" w:w="5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Address — each ‘never’ has a structural enforcement point (not a prompt)</w:t>
            </w:r>
          </w:p>
        </w:tc>
        <w:tc>
          <w:tcPr>
            <w:tcW w:type="dxa" w:w="19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▢ P ▢ Partial ▢ F</w:t>
            </w:r>
          </w:p>
        </w:tc>
        <w:tc>
          <w:tcPr>
            <w:tcW w:type="dxa" w:w="253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4</w:t>
            </w:r>
          </w:p>
        </w:tc>
        <w:tc>
          <w:tcPr>
            <w:tcW w:type="dxa" w:w="52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Expressibility — the cross-tenant statement cannot be written</w:t>
            </w:r>
          </w:p>
        </w:tc>
        <w:tc>
          <w:tcPr>
            <w:tcW w:type="dxa" w:w="19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▢ P ▢ Partial ▢ F</w:t>
            </w:r>
          </w:p>
        </w:tc>
        <w:tc>
          <w:tcPr>
            <w:tcW w:type="dxa" w:w="253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5</w:t>
            </w:r>
          </w:p>
        </w:tc>
        <w:tc>
          <w:tcPr>
            <w:tcW w:type="dxa" w:w="5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Origin — a fragment’s source is known and its influence bounded</w:t>
            </w:r>
          </w:p>
        </w:tc>
        <w:tc>
          <w:tcPr>
            <w:tcW w:type="dxa" w:w="19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▢ P ▢ Partial ▢ F</w:t>
            </w:r>
          </w:p>
        </w:tc>
        <w:tc>
          <w:tcPr>
            <w:tcW w:type="dxa" w:w="253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6</w:t>
            </w:r>
          </w:p>
        </w:tc>
        <w:tc>
          <w:tcPr>
            <w:tcW w:type="dxa" w:w="52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Dependency census — the runtime leash list is known and bounded</w:t>
            </w:r>
          </w:p>
        </w:tc>
        <w:tc>
          <w:tcPr>
            <w:tcW w:type="dxa" w:w="19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▢ P ▢ Partial ▢ F</w:t>
            </w:r>
          </w:p>
        </w:tc>
        <w:tc>
          <w:tcPr>
            <w:tcW w:type="dxa" w:w="253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7</w:t>
            </w:r>
          </w:p>
        </w:tc>
        <w:tc>
          <w:tcPr>
            <w:tcW w:type="dxa" w:w="5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Substitution — a real, costed alternative exists for each party</w:t>
            </w:r>
          </w:p>
        </w:tc>
        <w:tc>
          <w:tcPr>
            <w:tcW w:type="dxa" w:w="19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▢ P ▢ Partial ▢ F</w:t>
            </w:r>
          </w:p>
        </w:tc>
        <w:tc>
          <w:tcPr>
            <w:tcW w:type="dxa" w:w="253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8</w:t>
            </w:r>
          </w:p>
        </w:tc>
        <w:tc>
          <w:tcPr>
            <w:tcW w:type="dxa" w:w="52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Last-month — full attribution of one transaction, by query</w:t>
            </w:r>
          </w:p>
        </w:tc>
        <w:tc>
          <w:tcPr>
            <w:tcW w:type="dxa" w:w="19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▢ P ▢ Partial ▢ F</w:t>
            </w:r>
          </w:p>
        </w:tc>
        <w:tc>
          <w:tcPr>
            <w:tcW w:type="dxa" w:w="253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9</w:t>
            </w:r>
          </w:p>
        </w:tc>
        <w:tc>
          <w:tcPr>
            <w:tcW w:type="dxa" w:w="5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Two-invoices + outlive — per-action cost; a neutral, replaceable holder</w:t>
            </w:r>
          </w:p>
        </w:tc>
        <w:tc>
          <w:tcPr>
            <w:tcW w:type="dxa" w:w="19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▢ P ▢ Partial ▢ F</w:t>
            </w:r>
          </w:p>
        </w:tc>
        <w:tc>
          <w:tcPr>
            <w:tcW w:type="dxa" w:w="253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/>
            </w:r>
          </w:p>
        </w:tc>
      </w:tr>
    </w:tbl>
    <w:p>
      <w:pPr>
        <w:spacing w:after="60" w:line="276"/>
      </w:pPr>
      <w:r>
        <w:rPr>
          <w:color w:val="1B1A18"/>
          <w:sz w:val="20"/>
          <w:szCs w:val="20"/>
        </w:rPr>
        <w:t xml:space="preserve">Overall custody assessment: ____________________________________________</w:t>
      </w:r>
    </w:p>
    <w:p>
      <w:pPr>
        <w:pStyle w:val="Heading1"/>
        <w:spacing w:after="130" w:before="300"/>
      </w:pPr>
      <w:r>
        <w:rPr>
          <w:b/>
          <w:bCs/>
          <w:color w:val="33302B"/>
          <w:sz w:val="29"/>
          <w:szCs w:val="29"/>
        </w:rPr>
        <w:t xml:space="preserve">3 · The property-by-crossing map (template)</w:t>
      </w:r>
    </w:p>
    <w:p>
      <w:pPr>
        <w:spacing w:after="110" w:line="276"/>
      </w:pPr>
      <w:r>
        <w:rPr>
          <w:i/>
          <w:iCs/>
          <w:color w:val="6E6A62"/>
          <w:sz w:val="20"/>
          <w:szCs w:val="20"/>
        </w:rPr>
        <w:t xml:space="preserve">For each crossing where work moves, record which property is at risk and whether it is carried today.</w:t>
      </w:r>
    </w:p>
    <w:tbl>
      <w:tblPr>
        <w:tblW w:type="dxa" w:w="10080"/>
        <w:tblBorders>
          <w:top w:val="single" w:color="D6D2C9" w:sz="4"/>
          <w:left w:val="single" w:color="D6D2C9" w:sz="4"/>
          <w:bottom w:val="single" w:color="D6D2C9" w:sz="4"/>
          <w:right w:val="single" w:color="D6D2C9" w:sz="4"/>
          <w:insideH w:val="single" w:color="D6D2C9" w:sz="4"/>
          <w:insideV w:val="single" w:color="D6D2C9" w:sz="4"/>
        </w:tblBorders>
      </w:tblPr>
      <w:tblGrid>
        <w:gridCol w:w="3800"/>
        <w:gridCol w:w="3000"/>
        <w:gridCol w:w="2200"/>
        <w:gridCol w:w="1080"/>
      </w:tblGrid>
      <w:tr>
        <w:trPr>
          <w:tblHeader/>
        </w:trPr>
        <w:tc>
          <w:tcPr>
            <w:tcW w:type="dxa" w:w="380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Crossing (from → to)</w:t>
            </w:r>
          </w:p>
        </w:tc>
        <w:tc>
          <w:tcPr>
            <w:tcW w:type="dxa" w:w="300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Work that crosses</w:t>
            </w:r>
          </w:p>
        </w:tc>
        <w:tc>
          <w:tcPr>
            <w:tcW w:type="dxa" w:w="220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Property at risk</w:t>
            </w:r>
          </w:p>
        </w:tc>
        <w:tc>
          <w:tcPr>
            <w:tcW w:type="dxa" w:w="108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 custody? (Y/N)</w:t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[system → system]</w:t>
            </w:r>
          </w:p>
        </w:tc>
        <w:tc>
          <w:tcPr>
            <w:tcW w:type="dxa" w:w="30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[the payload]</w:t>
            </w:r>
          </w:p>
        </w:tc>
        <w:tc>
          <w:tcPr>
            <w:tcW w:type="dxa" w:w="2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[of the six]</w:t>
            </w:r>
          </w:p>
        </w:tc>
        <w:tc>
          <w:tcPr>
            <w:tcW w:type="dxa" w:w="108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[Y / N / partial]</w:t>
            </w:r>
          </w:p>
        </w:tc>
      </w:tr>
      <w:tr>
        <w:tc>
          <w:tcPr>
            <w:tcW w:type="dxa" w:w="38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8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spacing w:after="130" w:before="300"/>
      </w:pPr>
      <w:r>
        <w:rPr>
          <w:b/>
          <w:bCs/>
          <w:color w:val="33302B"/>
          <w:sz w:val="29"/>
          <w:szCs w:val="29"/>
        </w:rPr>
        <w:t xml:space="preserve">4 · The remediation plan (template)</w:t>
      </w:r>
    </w:p>
    <w:p>
      <w:pPr>
        <w:spacing w:after="110" w:line="276"/>
      </w:pPr>
      <w:r>
        <w:rPr>
          <w:i/>
          <w:iCs/>
          <w:color w:val="6E6A62"/>
          <w:sz w:val="20"/>
          <w:szCs w:val="20"/>
        </w:rPr>
        <w:t xml:space="preserve">Turn each gap into an action. Prioritise by the severity of the property at risk and the reachability of the fix.</w:t>
      </w:r>
    </w:p>
    <w:tbl>
      <w:tblPr>
        <w:tblW w:type="dxa" w:w="9580"/>
        <w:tblBorders>
          <w:top w:val="single" w:color="D6D2C9" w:sz="4"/>
          <w:left w:val="single" w:color="D6D2C9" w:sz="4"/>
          <w:bottom w:val="single" w:color="D6D2C9" w:sz="4"/>
          <w:right w:val="single" w:color="D6D2C9" w:sz="4"/>
          <w:insideH w:val="single" w:color="D6D2C9" w:sz="4"/>
          <w:insideV w:val="single" w:color="D6D2C9" w:sz="4"/>
        </w:tblBorders>
      </w:tblPr>
      <w:tblGrid>
        <w:gridCol w:w="3200"/>
        <w:gridCol w:w="1900"/>
        <w:gridCol w:w="1500"/>
        <w:gridCol w:w="2080"/>
        <w:gridCol w:w="900"/>
      </w:tblGrid>
      <w:tr>
        <w:trPr>
          <w:tblHeader/>
        </w:trPr>
        <w:tc>
          <w:tcPr>
            <w:tcW w:type="dxa" w:w="320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Gap</w:t>
            </w:r>
          </w:p>
        </w:tc>
        <w:tc>
          <w:tcPr>
            <w:tcW w:type="dxa" w:w="190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Property endangered</w:t>
            </w:r>
          </w:p>
        </w:tc>
        <w:tc>
          <w:tcPr>
            <w:tcW w:type="dxa" w:w="150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Crossing</w:t>
            </w:r>
          </w:p>
        </w:tc>
        <w:tc>
          <w:tcPr>
            <w:tcW w:type="dxa" w:w="208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Structural fix</w:t>
            </w:r>
          </w:p>
        </w:tc>
        <w:tc>
          <w:tcPr>
            <w:tcW w:type="dxa" w:w="90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[the gap the scorecard found]</w:t>
            </w:r>
          </w:p>
        </w:tc>
        <w:tc>
          <w:tcPr>
            <w:tcW w:type="dxa" w:w="19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[of the six]</w:t>
            </w:r>
          </w:p>
        </w:tc>
        <w:tc>
          <w:tcPr>
            <w:tcW w:type="dxa" w:w="15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[where]</w:t>
            </w:r>
          </w:p>
        </w:tc>
        <w:tc>
          <w:tcPr>
            <w:tcW w:type="dxa" w:w="208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[the structural change — not a prompt]</w:t>
            </w:r>
          </w:p>
        </w:tc>
        <w:tc>
          <w:tcPr>
            <w:tcW w:type="dxa" w:w="9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[H/M/L]</w:t>
            </w:r>
          </w:p>
        </w:tc>
      </w:tr>
      <w:tr>
        <w:tc>
          <w:tcPr>
            <w:tcW w:type="dxa" w:w="32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/>
            </w:r>
          </w:p>
        </w:tc>
        <w:tc>
          <w:tcPr>
            <w:tcW w:type="dxa" w:w="208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/>
            </w:r>
          </w:p>
        </w:tc>
        <w:tc>
          <w:tcPr>
            <w:tcW w:type="dxa" w:w="208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spacing w:after="130" w:before="300"/>
      </w:pPr>
      <w:r>
        <w:rPr>
          <w:b/>
          <w:bCs/>
          <w:color w:val="33302B"/>
          <w:sz w:val="29"/>
          <w:szCs w:val="29"/>
        </w:rPr>
        <w:t xml:space="preserve">5 · A worked mini-example</w:t>
      </w:r>
    </w:p>
    <w:p>
      <w:pPr>
        <w:spacing w:after="110" w:line="276"/>
      </w:pPr>
      <w:r>
        <w:rPr>
          <w:color w:val="1B1A18"/>
          <w:sz w:val="20"/>
          <w:szCs w:val="20"/>
        </w:rPr>
        <w:t xml:space="preserve">A small illustration — a refund agent in a payments system — showing the templates filled. Use it to calibrate before running the real thing.</w:t>
      </w:r>
    </w:p>
    <w:p>
      <w:pPr>
        <w:pStyle w:val="Heading3"/>
        <w:spacing w:after="70" w:before="160"/>
      </w:pPr>
      <w:r>
        <w:rPr>
          <w:b/>
          <w:bCs/>
          <w:color w:val="57534A"/>
          <w:sz w:val="20"/>
          <w:szCs w:val="20"/>
        </w:rPr>
        <w:t xml:space="preserve">Scorecard (excerpt)</w:t>
      </w:r>
    </w:p>
    <w:tbl>
      <w:tblPr>
        <w:tblW w:type="dxa" w:w="10080"/>
        <w:tblBorders>
          <w:top w:val="single" w:color="D6D2C9" w:sz="4"/>
          <w:left w:val="single" w:color="D6D2C9" w:sz="4"/>
          <w:bottom w:val="single" w:color="D6D2C9" w:sz="4"/>
          <w:right w:val="single" w:color="D6D2C9" w:sz="4"/>
          <w:insideH w:val="single" w:color="D6D2C9" w:sz="4"/>
          <w:insideV w:val="single" w:color="D6D2C9" w:sz="4"/>
        </w:tblBorders>
      </w:tblPr>
      <w:tblGrid>
        <w:gridCol w:w="450"/>
        <w:gridCol w:w="4100"/>
        <w:gridCol w:w="1400"/>
        <w:gridCol w:w="4130"/>
      </w:tblGrid>
      <w:tr>
        <w:trPr>
          <w:tblHeader/>
        </w:trPr>
        <w:tc>
          <w:tcPr>
            <w:tcW w:type="dxa" w:w="45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10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140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  <w:tc>
          <w:tcPr>
            <w:tcW w:type="dxa" w:w="413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Evidence observed / gap</w:t>
            </w:r>
          </w:p>
        </w:tc>
      </w:tr>
      <w:tr>
        <w:tc>
          <w:tcPr>
            <w:tcW w:type="dxa" w:w="45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3</w:t>
            </w:r>
          </w:p>
        </w:tc>
        <w:tc>
          <w:tcPr>
            <w:tcW w:type="dxa" w:w="41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Address — each ‘never’ has a structural enforcement point</w:t>
            </w:r>
          </w:p>
        </w:tc>
        <w:tc>
          <w:tcPr>
            <w:tcW w:type="dxa" w:w="14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Fail</w:t>
            </w:r>
          </w:p>
        </w:tc>
        <w:tc>
          <w:tcPr>
            <w:tcW w:type="dxa" w:w="413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The ‘no refund above €500 without approval’ rule is enforced only by the agent’s system prompt. No structural gate.</w:t>
            </w:r>
          </w:p>
        </w:tc>
      </w:tr>
      <w:tr>
        <w:tc>
          <w:tcPr>
            <w:tcW w:type="dxa" w:w="45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8</w:t>
            </w:r>
          </w:p>
        </w:tc>
        <w:tc>
          <w:tcPr>
            <w:tcW w:type="dxa" w:w="41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Last-month — full attribution by query</w:t>
            </w:r>
          </w:p>
        </w:tc>
        <w:tc>
          <w:tcPr>
            <w:tcW w:type="dxa" w:w="14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Partial</w:t>
            </w:r>
          </w:p>
        </w:tc>
        <w:tc>
          <w:tcPr>
            <w:tcW w:type="dxa" w:w="413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Refund amount and time are logged, but the rule version in force and the approver are not captured at the transaction.</w:t>
            </w:r>
          </w:p>
        </w:tc>
      </w:tr>
    </w:tbl>
    <w:p>
      <w:pPr>
        <w:pStyle w:val="Heading3"/>
        <w:spacing w:after="70" w:before="160"/>
      </w:pPr>
      <w:r>
        <w:rPr>
          <w:b/>
          <w:bCs/>
          <w:color w:val="57534A"/>
          <w:sz w:val="20"/>
          <w:szCs w:val="20"/>
        </w:rPr>
        <w:t xml:space="preserve">Remediation (excerpt)</w:t>
      </w:r>
    </w:p>
    <w:tbl>
      <w:tblPr>
        <w:tblW w:type="dxa" w:w="9580"/>
        <w:tblBorders>
          <w:top w:val="single" w:color="D6D2C9" w:sz="4"/>
          <w:left w:val="single" w:color="D6D2C9" w:sz="4"/>
          <w:bottom w:val="single" w:color="D6D2C9" w:sz="4"/>
          <w:right w:val="single" w:color="D6D2C9" w:sz="4"/>
          <w:insideH w:val="single" w:color="D6D2C9" w:sz="4"/>
          <w:insideV w:val="single" w:color="D6D2C9" w:sz="4"/>
        </w:tblBorders>
      </w:tblPr>
      <w:tblGrid>
        <w:gridCol w:w="3200"/>
        <w:gridCol w:w="1900"/>
        <w:gridCol w:w="1500"/>
        <w:gridCol w:w="2080"/>
        <w:gridCol w:w="900"/>
      </w:tblGrid>
      <w:tr>
        <w:trPr>
          <w:tblHeader/>
        </w:trPr>
        <w:tc>
          <w:tcPr>
            <w:tcW w:type="dxa" w:w="320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Gap</w:t>
            </w:r>
          </w:p>
        </w:tc>
        <w:tc>
          <w:tcPr>
            <w:tcW w:type="dxa" w:w="190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Property endangered</w:t>
            </w:r>
          </w:p>
        </w:tc>
        <w:tc>
          <w:tcPr>
            <w:tcW w:type="dxa" w:w="150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Crossing</w:t>
            </w:r>
          </w:p>
        </w:tc>
        <w:tc>
          <w:tcPr>
            <w:tcW w:type="dxa" w:w="208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Structural fix</w:t>
            </w:r>
          </w:p>
        </w:tc>
        <w:tc>
          <w:tcPr>
            <w:tcW w:type="dxa" w:w="900"/>
            <w:shd w:fill="33302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‘Never refund &gt; €500 unapproved’ enforced only in the prompt</w:t>
            </w:r>
          </w:p>
        </w:tc>
        <w:tc>
          <w:tcPr>
            <w:tcW w:type="dxa" w:w="19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Execution coherence / authority</w:t>
            </w:r>
          </w:p>
        </w:tc>
        <w:tc>
          <w:tcPr>
            <w:tcW w:type="dxa" w:w="15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Agent → payments egress</w:t>
            </w:r>
          </w:p>
        </w:tc>
        <w:tc>
          <w:tcPr>
            <w:tcW w:type="dxa" w:w="208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Enforce the ceiling at the payment egress boundary; the gate consults the approval record and refuses otherwise</w:t>
            </w:r>
          </w:p>
        </w:tc>
        <w:tc>
          <w:tcPr>
            <w:tcW w:type="dxa" w:w="9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H</w:t>
            </w:r>
          </w:p>
        </w:tc>
      </w:tr>
      <w:tr>
        <w:tc>
          <w:tcPr>
            <w:tcW w:type="dxa" w:w="32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Approver and rule version not captured at the transaction</w:t>
            </w:r>
          </w:p>
        </w:tc>
        <w:tc>
          <w:tcPr>
            <w:tcW w:type="dxa" w:w="19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Accountability</w:t>
            </w:r>
          </w:p>
        </w:tc>
        <w:tc>
          <w:tcPr>
            <w:tcW w:type="dxa" w:w="15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Agent → ledger</w:t>
            </w:r>
          </w:p>
        </w:tc>
        <w:tc>
          <w:tcPr>
            <w:tcW w:type="dxa" w:w="208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Capture approver + rule version as a by-product of the action, queryable after the fact</w:t>
            </w:r>
          </w:p>
        </w:tc>
        <w:tc>
          <w:tcPr>
            <w:tcW w:type="dxa" w:w="900"/>
            <w:shd w:fill="F4F2EE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48"/>
            </w:pPr>
            <w:r>
              <w:rPr>
                <w:color w:val="1B1A18"/>
                <w:sz w:val="17"/>
                <w:szCs w:val="17"/>
              </w:rPr>
              <w:t xml:space="preserve">H</w:t>
            </w:r>
          </w:p>
        </w:tc>
      </w:tr>
    </w:tbl>
    <w:p>
      <w:pPr>
        <w:spacing w:after="110" w:line="276"/>
      </w:pPr>
      <w:r>
        <w:rPr>
          <w:i/>
          <w:iCs/>
          <w:color w:val="6E6A62"/>
          <w:sz w:val="20"/>
          <w:szCs w:val="20"/>
        </w:rPr>
        <w:t xml:space="preserve">Note the pattern: every fix relocates a guarantee from an instruction into structure, at the crossing where the work passes. That is the whole method.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2C9" w:sz="6"/>
      </w:pBdr>
      <w:spacing w:before="60"/>
      <w:jc w:val="center"/>
    </w:pPr>
    <w:r>
      <w:rPr>
        <w:color w:val="6E6A62"/>
        <w:sz w:val="16"/>
        <w:szCs w:val="16"/>
      </w:rPr>
      <w:t xml:space="preserve">Professional Certificate — The Custody Architect   ·   Page </w:t>
    </w:r>
    <w:r>
      <w:rPr>
        <w:color w:val="6E6A6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2C9" w:sz="6"/>
      </w:pBdr>
      <w:spacing w:after="60"/>
      <w:jc w:val="right"/>
    </w:pPr>
    <w:r>
      <w:rPr>
        <w:caps/>
        <w:color w:val="6E6A62"/>
        <w:sz w:val="16"/>
        <w:szCs w:val="16"/>
      </w:rPr>
      <w:t xml:space="preserve">Evaluation &amp; Remediation Toolkit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33302B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B1A1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5"/>
      <w:szCs w:val="55"/>
    </w:rPr>
  </w:style>
  <w:style w:type="paragraph" w:styleId="Heading1">
    <w:name w:val="Heading 1"/>
    <w:basedOn w:val="Normal"/>
    <w:next w:val="Normal"/>
    <w:qFormat/>
    <w:rPr>
      <w:color w:val="33302B"/>
      <w:sz w:val="31"/>
      <w:szCs w:val="31"/>
    </w:rPr>
  </w:style>
  <w:style w:type="paragraph" w:styleId="Heading2">
    <w:name w:val="Heading 2"/>
    <w:basedOn w:val="Normal"/>
    <w:next w:val="Normal"/>
    <w:qFormat/>
    <w:rPr>
      <w:color w:val="33302B"/>
      <w:sz w:val="25"/>
      <w:szCs w:val="25"/>
    </w:rPr>
  </w:style>
  <w:style w:type="paragraph" w:styleId="Heading3">
    <w:name w:val="Heading 3"/>
    <w:basedOn w:val="Normal"/>
    <w:next w:val="Normal"/>
    <w:qFormat/>
    <w:rPr>
      <w:color w:val="33302B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33302B"/>
    </w:rPr>
  </w:style>
  <w:style w:type="paragraph" w:styleId="Heading5">
    <w:name w:val="Heading 5"/>
    <w:basedOn w:val="Normal"/>
    <w:next w:val="Normal"/>
    <w:qFormat/>
    <w:rPr>
      <w:color w:val="33302B"/>
    </w:rPr>
  </w:style>
  <w:style w:type="paragraph" w:styleId="Heading6">
    <w:name w:val="Heading 6"/>
    <w:basedOn w:val="Normal"/>
    <w:next w:val="Normal"/>
    <w:qFormat/>
    <w:rPr>
      <w:color w:val="33302B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57534A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19"/>
      <w:szCs w:val="19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19"/>
      <w:szCs w:val="19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19"/>
      <w:szCs w:val="19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19"/>
      <w:szCs w:val="19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33302B"/>
      <w:sz w:val="29"/>
      <w:szCs w:val="29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1B1A18"/>
      <w:sz w:val="23"/>
      <w:szCs w:val="23"/>
    </w:rPr>
  </w:style>
  <w:style w:type="paragraph" w:styleId="Heading3">
    <w:name w:val="Heading 3"/>
    <w:basedOn w:val="Normal"/>
    <w:next w:val="Normal"/>
    <w:qFormat/>
    <w:rPr>
      <w:rFonts w:ascii="Georgia" w:cs="Georgia" w:eastAsia="Georgia" w:hAnsi="Georgia"/>
      <w:b/>
      <w:bCs/>
      <w:color w:val="57534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PCert Evaluation &amp; Remediation Toolkit</dc:title>
  <dc:creator>MudoZangl — Professional Certificate materials</dc:creator>
  <cp:lastModifiedBy>Un-named</cp:lastModifiedBy>
  <cp:revision>1</cp:revision>
  <dcterms:created xsi:type="dcterms:W3CDTF">2026-08-16T06:26:54.629Z</dcterms:created>
  <dcterms:modified xsi:type="dcterms:W3CDTF">2026-08-16T06:26:54.629Z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