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b/>
          <w:bCs/>
          <w:caps/>
          <w:color w:val="33302B"/>
          <w:spacing w:val="40"/>
          <w:sz w:val="21"/>
          <w:szCs w:val="21"/>
        </w:rPr>
        <w:t xml:space="preserve">Professional Certificate · Practitioner cohort</w:t>
      </w:r>
    </w:p>
    <w:p>
      <w:pPr>
        <w:pBdr>
          <w:bottom w:val="single" w:color="33302B" w:sz="12"/>
        </w:pBdr>
        <w:spacing w:after="120"/>
        <w:jc w:val="center"/>
      </w:pPr>
      <w:r>
        <w:rPr>
          <w:b/>
          <w:bCs/>
          <w:color w:val="1B1A18"/>
          <w:sz w:val="45"/>
          <w:szCs w:val="45"/>
        </w:rPr>
        <w:t xml:space="preserve">The Custody Architect</w:t>
      </w:r>
    </w:p>
    <w:p>
      <w:pPr>
        <w:spacing w:after="60" w:before="140"/>
        <w:jc w:val="center"/>
      </w:pPr>
      <w:r>
        <w:rPr>
          <w:i/>
          <w:iCs/>
          <w:color w:val="6E6A62"/>
          <w:sz w:val="23"/>
          <w:szCs w:val="23"/>
        </w:rPr>
        <w:t xml:space="preserve">Evaluating and Governing Agentic AI in Regulated Enterprises</w:t>
      </w:r>
    </w:p>
    <w:p>
      <w:pPr>
        <w:spacing w:after="40" w:before="60"/>
        <w:jc w:val="center"/>
      </w:pPr>
      <w:r>
        <w:rPr>
          <w:color w:val="6E6A62"/>
          <w:sz w:val="19"/>
          <w:szCs w:val="19"/>
        </w:rPr>
        <w:t xml:space="preserve">Course syllabus — adapted from the book</w:t>
      </w:r>
    </w:p>
    <w:p>
      <w:pPr>
        <w:spacing w:after="40"/>
        <w:jc w:val="center"/>
      </w:pPr>
      <w:r>
        <w:rPr>
          <w:b/>
          <w:bCs/>
          <w:i/>
          <w:iCs/>
          <w:color w:val="33302B"/>
          <w:sz w:val="21"/>
          <w:szCs w:val="21"/>
        </w:rPr>
        <w:t xml:space="preserve">What the Structure Does Not Carry</w:t>
      </w:r>
    </w:p>
    <w:p>
      <w:pPr>
        <w:spacing w:after="260"/>
        <w:jc w:val="center"/>
      </w:pPr>
      <w:r>
        <w:rPr>
          <w:color w:val="6E6A62"/>
          <w:sz w:val="17"/>
          <w:szCs w:val="17"/>
        </w:rPr>
        <w:t xml:space="preserve">Georg Zangl  ·  Foreword by Egbert U. Imomoh  ·  2026</w:t>
      </w:r>
    </w:p>
    <w:p>
      <w:pPr>
        <w:pStyle w:val="Heading1"/>
        <w:spacing w:after="140" w:before="320"/>
      </w:pPr>
      <w:r>
        <w:rPr>
          <w:b/>
          <w:bCs/>
          <w:color w:val="33302B"/>
          <w:sz w:val="29"/>
          <w:szCs w:val="29"/>
        </w:rPr>
        <w:t xml:space="preserve">Course overview</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3024"/>
        <w:gridCol w:w="7056"/>
      </w:tblGrid>
      <w:tr>
        <w:tc>
          <w:tcPr>
            <w:tcW w:type="dxa" w:w="3024"/>
            <w:shd w:fill="F4F2EE" w:color="auto" w:val="clear"/>
            <w:tcMar>
              <w:top w:type="dxa" w:w="60"/>
              <w:left w:type="dxa" w:w="90"/>
              <w:bottom w:type="dxa" w:w="60"/>
              <w:right w:type="dxa" w:w="90"/>
            </w:tcMar>
          </w:tcPr>
          <w:p>
            <w:pPr>
              <w:spacing w:after="0" w:line="250"/>
            </w:pPr>
            <w:r>
              <w:rPr>
                <w:b/>
                <w:bCs/>
                <w:color w:val="33302B"/>
                <w:sz w:val="18"/>
                <w:szCs w:val="18"/>
              </w:rPr>
              <w:t xml:space="preserve">Programme code</w:t>
            </w:r>
          </w:p>
        </w:tc>
        <w:tc>
          <w:tcPr>
            <w:tcW w:type="dxa" w:w="7056"/>
            <w:shd w:fill="F4F2EE" w:color="auto" w:val="clear"/>
            <w:tcMar>
              <w:top w:type="dxa" w:w="60"/>
              <w:left w:type="dxa" w:w="90"/>
              <w:bottom w:type="dxa" w:w="60"/>
              <w:right w:type="dxa" w:w="90"/>
            </w:tcMar>
          </w:tcPr>
          <w:p>
            <w:pPr>
              <w:spacing w:after="0" w:line="250"/>
            </w:pPr>
            <w:r>
              <w:rPr>
                <w:color w:val="1B1A18"/>
                <w:sz w:val="18"/>
                <w:szCs w:val="18"/>
              </w:rPr>
              <w:t xml:space="preserve">PCERT-CA (suggested)</w:t>
            </w:r>
          </w:p>
        </w:tc>
      </w:tr>
      <w:tr>
        <w:tc>
          <w:tcPr>
            <w:tcW w:type="dxa" w:w="3024"/>
            <w:shd w:fill="FFFFFF" w:color="auto" w:val="clear"/>
            <w:tcMar>
              <w:top w:type="dxa" w:w="60"/>
              <w:left w:type="dxa" w:w="90"/>
              <w:bottom w:type="dxa" w:w="60"/>
              <w:right w:type="dxa" w:w="90"/>
            </w:tcMar>
          </w:tcPr>
          <w:p>
            <w:pPr>
              <w:spacing w:after="0" w:line="250"/>
            </w:pPr>
            <w:r>
              <w:rPr>
                <w:b/>
                <w:bCs/>
                <w:color w:val="33302B"/>
                <w:sz w:val="18"/>
                <w:szCs w:val="18"/>
              </w:rPr>
              <w:t xml:space="preserve">Level</w:t>
            </w:r>
          </w:p>
        </w:tc>
        <w:tc>
          <w:tcPr>
            <w:tcW w:type="dxa" w:w="7056"/>
            <w:shd w:fill="FFFFFF" w:color="auto" w:val="clear"/>
            <w:tcMar>
              <w:top w:type="dxa" w:w="60"/>
              <w:left w:type="dxa" w:w="90"/>
              <w:bottom w:type="dxa" w:w="60"/>
              <w:right w:type="dxa" w:w="90"/>
            </w:tcMar>
          </w:tcPr>
          <w:p>
            <w:pPr>
              <w:spacing w:after="0" w:line="250"/>
            </w:pPr>
            <w:r>
              <w:rPr>
                <w:color w:val="1B1A18"/>
                <w:sz w:val="18"/>
                <w:szCs w:val="18"/>
              </w:rPr>
              <w:t xml:space="preserve">Professional / post-experience (non-degree)</w:t>
            </w:r>
          </w:p>
        </w:tc>
      </w:tr>
      <w:tr>
        <w:tc>
          <w:tcPr>
            <w:tcW w:type="dxa" w:w="3024"/>
            <w:shd w:fill="F4F2EE" w:color="auto" w:val="clear"/>
            <w:tcMar>
              <w:top w:type="dxa" w:w="60"/>
              <w:left w:type="dxa" w:w="90"/>
              <w:bottom w:type="dxa" w:w="60"/>
              <w:right w:type="dxa" w:w="90"/>
            </w:tcMar>
          </w:tcPr>
          <w:p>
            <w:pPr>
              <w:spacing w:after="0" w:line="250"/>
            </w:pPr>
            <w:r>
              <w:rPr>
                <w:b/>
                <w:bCs/>
                <w:color w:val="33302B"/>
                <w:sz w:val="18"/>
                <w:szCs w:val="18"/>
              </w:rPr>
              <w:t xml:space="preserve">Credits</w:t>
            </w:r>
          </w:p>
        </w:tc>
        <w:tc>
          <w:tcPr>
            <w:tcW w:type="dxa" w:w="7056"/>
            <w:shd w:fill="F4F2EE" w:color="auto" w:val="clear"/>
            <w:tcMar>
              <w:top w:type="dxa" w:w="60"/>
              <w:left w:type="dxa" w:w="90"/>
              <w:bottom w:type="dxa" w:w="60"/>
              <w:right w:type="dxa" w:w="90"/>
            </w:tcMar>
          </w:tcPr>
          <w:p>
            <w:pPr>
              <w:spacing w:after="0" w:line="250"/>
            </w:pPr>
            <w:r>
              <w:rPr>
                <w:color w:val="1B1A18"/>
                <w:sz w:val="18"/>
                <w:szCs w:val="18"/>
              </w:rPr>
              <w:t xml:space="preserve">8 CEUs / digital badge; ‘with distinction’ available</w:t>
            </w:r>
          </w:p>
        </w:tc>
      </w:tr>
      <w:tr>
        <w:tc>
          <w:tcPr>
            <w:tcW w:type="dxa" w:w="3024"/>
            <w:shd w:fill="FFFFFF" w:color="auto" w:val="clear"/>
            <w:tcMar>
              <w:top w:type="dxa" w:w="60"/>
              <w:left w:type="dxa" w:w="90"/>
              <w:bottom w:type="dxa" w:w="60"/>
              <w:right w:type="dxa" w:w="90"/>
            </w:tcMar>
          </w:tcPr>
          <w:p>
            <w:pPr>
              <w:spacing w:after="0" w:line="250"/>
            </w:pPr>
            <w:r>
              <w:rPr>
                <w:b/>
                <w:bCs/>
                <w:color w:val="33302B"/>
                <w:sz w:val="18"/>
                <w:szCs w:val="18"/>
              </w:rPr>
              <w:t xml:space="preserve">Duration</w:t>
            </w:r>
          </w:p>
        </w:tc>
        <w:tc>
          <w:tcPr>
            <w:tcW w:type="dxa" w:w="7056"/>
            <w:shd w:fill="FFFFFF" w:color="auto" w:val="clear"/>
            <w:tcMar>
              <w:top w:type="dxa" w:w="60"/>
              <w:left w:type="dxa" w:w="90"/>
              <w:bottom w:type="dxa" w:w="60"/>
              <w:right w:type="dxa" w:w="90"/>
            </w:tcMar>
          </w:tcPr>
          <w:p>
            <w:pPr>
              <w:spacing w:after="0" w:line="250"/>
            </w:pPr>
            <w:r>
              <w:rPr>
                <w:color w:val="1B1A18"/>
                <w:sz w:val="18"/>
                <w:szCs w:val="18"/>
              </w:rPr>
              <w:t xml:space="preserve">8 weeks · one 2.5-hour live cohort session per week + applied exercise</w:t>
            </w:r>
          </w:p>
        </w:tc>
      </w:tr>
      <w:tr>
        <w:tc>
          <w:tcPr>
            <w:tcW w:type="dxa" w:w="3024"/>
            <w:shd w:fill="F4F2EE" w:color="auto" w:val="clear"/>
            <w:tcMar>
              <w:top w:type="dxa" w:w="60"/>
              <w:left w:type="dxa" w:w="90"/>
              <w:bottom w:type="dxa" w:w="60"/>
              <w:right w:type="dxa" w:w="90"/>
            </w:tcMar>
          </w:tcPr>
          <w:p>
            <w:pPr>
              <w:spacing w:after="0" w:line="250"/>
            </w:pPr>
            <w:r>
              <w:rPr>
                <w:b/>
                <w:bCs/>
                <w:color w:val="33302B"/>
                <w:sz w:val="18"/>
                <w:szCs w:val="18"/>
              </w:rPr>
              <w:t xml:space="preserve">Format</w:t>
            </w:r>
          </w:p>
        </w:tc>
        <w:tc>
          <w:tcPr>
            <w:tcW w:type="dxa" w:w="7056"/>
            <w:shd w:fill="F4F2EE" w:color="auto" w:val="clear"/>
            <w:tcMar>
              <w:top w:type="dxa" w:w="60"/>
              <w:left w:type="dxa" w:w="90"/>
              <w:bottom w:type="dxa" w:w="60"/>
              <w:right w:type="dxa" w:w="90"/>
            </w:tcMar>
          </w:tcPr>
          <w:p>
            <w:pPr>
              <w:spacing w:after="0" w:line="250"/>
            </w:pPr>
            <w:r>
              <w:rPr>
                <w:color w:val="1B1A18"/>
                <w:sz w:val="18"/>
                <w:szCs w:val="18"/>
              </w:rPr>
              <w:t xml:space="preserve">Cohort-based, applied clinics, capstone evaluation of a real or supplied system</w:t>
            </w:r>
          </w:p>
        </w:tc>
      </w:tr>
      <w:tr>
        <w:tc>
          <w:tcPr>
            <w:tcW w:type="dxa" w:w="3024"/>
            <w:shd w:fill="FFFFFF" w:color="auto" w:val="clear"/>
            <w:tcMar>
              <w:top w:type="dxa" w:w="60"/>
              <w:left w:type="dxa" w:w="90"/>
              <w:bottom w:type="dxa" w:w="60"/>
              <w:right w:type="dxa" w:w="90"/>
            </w:tcMar>
          </w:tcPr>
          <w:p>
            <w:pPr>
              <w:spacing w:after="0" w:line="250"/>
            </w:pPr>
            <w:r>
              <w:rPr>
                <w:b/>
                <w:bCs/>
                <w:color w:val="33302B"/>
                <w:sz w:val="18"/>
                <w:szCs w:val="18"/>
              </w:rPr>
              <w:t xml:space="preserve">Prerequisites</w:t>
            </w:r>
          </w:p>
        </w:tc>
        <w:tc>
          <w:tcPr>
            <w:tcW w:type="dxa" w:w="7056"/>
            <w:shd w:fill="FFFFFF" w:color="auto" w:val="clear"/>
            <w:tcMar>
              <w:top w:type="dxa" w:w="60"/>
              <w:left w:type="dxa" w:w="90"/>
              <w:bottom w:type="dxa" w:w="60"/>
              <w:right w:type="dxa" w:w="90"/>
            </w:tcMar>
          </w:tcPr>
          <w:p>
            <w:pPr>
              <w:spacing w:after="0" w:line="250"/>
            </w:pPr>
            <w:r>
              <w:rPr>
                <w:color w:val="1B1A18"/>
                <w:sz w:val="18"/>
                <w:szCs w:val="18"/>
              </w:rPr>
              <w:t xml:space="preserve">Working experience in software/enterprise/solution architecture or engineering leadership; familiarity with LLM-based systems</w:t>
            </w:r>
          </w:p>
        </w:tc>
      </w:tr>
      <w:tr>
        <w:tc>
          <w:tcPr>
            <w:tcW w:type="dxa" w:w="3024"/>
            <w:shd w:fill="F4F2EE" w:color="auto" w:val="clear"/>
            <w:tcMar>
              <w:top w:type="dxa" w:w="60"/>
              <w:left w:type="dxa" w:w="90"/>
              <w:bottom w:type="dxa" w:w="60"/>
              <w:right w:type="dxa" w:w="90"/>
            </w:tcMar>
          </w:tcPr>
          <w:p>
            <w:pPr>
              <w:spacing w:after="0" w:line="250"/>
            </w:pPr>
            <w:r>
              <w:rPr>
                <w:b/>
                <w:bCs/>
                <w:color w:val="33302B"/>
                <w:sz w:val="18"/>
                <w:szCs w:val="18"/>
              </w:rPr>
              <w:t xml:space="preserve">Instructor</w:t>
            </w:r>
          </w:p>
        </w:tc>
        <w:tc>
          <w:tcPr>
            <w:tcW w:type="dxa" w:w="7056"/>
            <w:shd w:fill="F4F2EE" w:color="auto" w:val="clear"/>
            <w:tcMar>
              <w:top w:type="dxa" w:w="60"/>
              <w:left w:type="dxa" w:w="90"/>
              <w:bottom w:type="dxa" w:w="60"/>
              <w:right w:type="dxa" w:w="90"/>
            </w:tcMar>
          </w:tcPr>
          <w:p>
            <w:pPr>
              <w:spacing w:after="0" w:line="250"/>
            </w:pPr>
            <w:r>
              <w:rPr>
                <w:color w:val="1B1A18"/>
                <w:sz w:val="18"/>
                <w:szCs w:val="18"/>
              </w:rPr>
              <w:t xml:space="preserve">[Instructor name] · [email] · Cohort channel: [link]</w:t>
            </w:r>
          </w:p>
        </w:tc>
      </w:tr>
    </w:tbl>
    <w:p>
      <w:pPr>
        <w:spacing w:after="60"/>
      </w:pPr>
    </w:p>
    <w:p>
      <w:pPr>
        <w:pStyle w:val="Heading2"/>
        <w:spacing w:after="100" w:before="240"/>
      </w:pPr>
      <w:r>
        <w:rPr>
          <w:b/>
          <w:bCs/>
          <w:color w:val="1B1A18"/>
          <w:sz w:val="23"/>
          <w:szCs w:val="23"/>
        </w:rPr>
        <w:t xml:space="preserve">About the source text</w:t>
      </w:r>
    </w:p>
    <w:p>
      <w:pPr>
        <w:spacing w:after="120" w:line="276"/>
      </w:pPr>
      <w:r>
        <w:rPr>
          <w:i/>
          <w:iCs/>
          <w:color w:val="1B1A18"/>
          <w:sz w:val="20"/>
          <w:szCs w:val="20"/>
        </w:rPr>
        <w:t xml:space="preserve">What the Structure Does Not Carry</w:t>
      </w:r>
      <w:r>
        <w:rPr>
          <w:color w:val="1B1A18"/>
          <w:sz w:val="20"/>
          <w:szCs w:val="20"/>
        </w:rPr>
        <w:t xml:space="preserve"> argues that an enterprise is not its systems but a small set of properties that must survive every boundary a piece of work crosses: </w:t>
      </w:r>
      <w:r>
        <w:rPr>
          <w:b/>
          <w:bCs/>
          <w:color w:val="1B1A18"/>
          <w:sz w:val="20"/>
          <w:szCs w:val="20"/>
        </w:rPr>
        <w:t xml:space="preserve">context, authority, accountability, coordination, execution coherence, and institutional memory</w:t>
      </w:r>
      <w:r>
        <w:rPr>
          <w:color w:val="1B1A18"/>
          <w:sz w:val="20"/>
          <w:szCs w:val="20"/>
        </w:rPr>
        <w:t xml:space="preserve">. For four decades a hidden layer of people carried those properties by hand across the gaps in every architecture diagram. Agentic AI does not create a new requirement — it withdraws that subsidy. The book states the governing law (</w:t>
      </w:r>
      <w:r>
        <w:rPr>
          <w:i/>
          <w:iCs/>
          <w:color w:val="1B1A18"/>
          <w:sz w:val="20"/>
          <w:szCs w:val="20"/>
        </w:rPr>
        <w:t xml:space="preserve">enterprise architecture is the custody of organisational properties under movement</w:t>
      </w:r>
      <w:r>
        <w:rPr>
          <w:color w:val="1B1A18"/>
          <w:sz w:val="20"/>
          <w:szCs w:val="20"/>
        </w:rPr>
        <w:t xml:space="preserve">), derives what any structure must do to satisfy it, and closes with an evaluation protocol and a set of custody rules. This course is built directly on that spine.</w:t>
      </w:r>
    </w:p>
    <w:p>
      <w:pPr>
        <w:spacing w:after="120" w:line="276"/>
      </w:pPr>
      <w:r>
        <w:rPr>
          <w:i/>
          <w:iCs/>
          <w:color w:val="6E6A62"/>
          <w:sz w:val="20"/>
          <w:szCs w:val="20"/>
        </w:rPr>
        <w:t xml:space="preserve">This professional-certificate version is condensed and applied. It is built for practising architects, CTOs, and senior engineers who need to evaluate, govern, or remediate real agentic-AI systems now. Every module ends in an artefact the participant can use at work the next day.</w:t>
      </w:r>
    </w:p>
    <w:p>
      <w:pPr>
        <w:pStyle w:val="Heading1"/>
        <w:spacing w:after="140" w:before="320"/>
      </w:pPr>
      <w:r>
        <w:rPr>
          <w:b/>
          <w:bCs/>
          <w:color w:val="33302B"/>
          <w:sz w:val="29"/>
          <w:szCs w:val="29"/>
        </w:rPr>
        <w:t xml:space="preserve">Course description</w:t>
      </w:r>
    </w:p>
    <w:p>
      <w:pPr>
        <w:spacing w:after="120" w:line="276"/>
      </w:pPr>
      <w:r>
        <w:rPr>
          <w:color w:val="1B1A18"/>
          <w:sz w:val="20"/>
          <w:szCs w:val="20"/>
        </w:rPr>
        <w:t xml:space="preserve">A hands-on programme that turns the book’s argument into a working instrument. Participants learn to locate the crossings in a live system, diagnose which of the six properties are and are not in custody, and run the nine-test evaluation protocol against a real or supplied agentic-AI architecture — producing, by the end, a defensible evaluation report and a remediation plan. The emphasis throughout is practitioner judgement: recognising the characteristic failure of each missing property, distinguishing genuine custody from vocabulary that merely claims it, and knowing which questions cannot be answered by a slide. Vendor- and stack-neutral by design.</w:t>
      </w:r>
    </w:p>
    <w:p>
      <w:pPr>
        <w:pStyle w:val="Heading1"/>
        <w:spacing w:after="140" w:before="320"/>
      </w:pPr>
      <w:r>
        <w:rPr>
          <w:b/>
          <w:bCs/>
          <w:color w:val="33302B"/>
          <w:sz w:val="29"/>
          <w:szCs w:val="29"/>
        </w:rPr>
        <w:t xml:space="preserve">Learning outcomes</w:t>
      </w:r>
    </w:p>
    <w:p>
      <w:pPr>
        <w:spacing w:after="80" w:line="276"/>
      </w:pPr>
      <w:r>
        <w:rPr>
          <w:color w:val="1B1A18"/>
          <w:sz w:val="20"/>
          <w:szCs w:val="20"/>
        </w:rPr>
        <w:t xml:space="preserve">On successful completion, participants will be able to:</w:t>
      </w:r>
    </w:p>
    <w:p>
      <w:pPr>
        <w:pStyle w:val="ListParagraph"/>
        <w:numPr>
          <w:ilvl w:val="0"/>
          <w:numId w:val="2"/>
        </w:numPr>
        <w:spacing w:after="70" w:line="268"/>
      </w:pPr>
      <w:r>
        <w:rPr>
          <w:color w:val="1B1A18"/>
          <w:sz w:val="20"/>
          <w:szCs w:val="20"/>
        </w:rPr>
        <w:t xml:space="preserve">Locate the crossings in a live or documented system and articulate what each fails to carry.</w:t>
      </w:r>
    </w:p>
    <w:p>
      <w:pPr>
        <w:pStyle w:val="ListParagraph"/>
        <w:numPr>
          <w:ilvl w:val="0"/>
          <w:numId w:val="2"/>
        </w:numPr>
        <w:spacing w:after="70" w:line="268"/>
      </w:pPr>
      <w:r>
        <w:rPr>
          <w:color w:val="1B1A18"/>
          <w:sz w:val="20"/>
          <w:szCs w:val="20"/>
        </w:rPr>
        <w:t xml:space="preserve">Diagnose each of the six properties as in or out of custody from its characteristic failure signature.</w:t>
      </w:r>
    </w:p>
    <w:p>
      <w:pPr>
        <w:pStyle w:val="ListParagraph"/>
        <w:numPr>
          <w:ilvl w:val="0"/>
          <w:numId w:val="2"/>
        </w:numPr>
        <w:spacing w:after="70" w:line="268"/>
      </w:pPr>
      <w:r>
        <w:rPr>
          <w:color w:val="1B1A18"/>
          <w:sz w:val="20"/>
          <w:szCs w:val="20"/>
        </w:rPr>
        <w:t xml:space="preserve">Determine, for any hard rule, where it is physically enforced — and disqualify enforcement that rests on a prompt.</w:t>
      </w:r>
    </w:p>
    <w:p>
      <w:pPr>
        <w:pStyle w:val="ListParagraph"/>
        <w:numPr>
          <w:ilvl w:val="0"/>
          <w:numId w:val="2"/>
        </w:numPr>
        <w:spacing w:after="70" w:line="268"/>
      </w:pPr>
      <w:r>
        <w:rPr>
          <w:color w:val="1B1A18"/>
          <w:sz w:val="20"/>
          <w:szCs w:val="20"/>
        </w:rPr>
        <w:t xml:space="preserve">Run the full nine-test protocol against a system and record evidence-based verdicts.</w:t>
      </w:r>
    </w:p>
    <w:p>
      <w:pPr>
        <w:pStyle w:val="ListParagraph"/>
        <w:numPr>
          <w:ilvl w:val="0"/>
          <w:numId w:val="2"/>
        </w:numPr>
        <w:spacing w:after="70" w:line="268"/>
      </w:pPr>
      <w:r>
        <w:rPr>
          <w:color w:val="1B1A18"/>
          <w:sz w:val="20"/>
          <w:szCs w:val="20"/>
        </w:rPr>
        <w:t xml:space="preserve">Assess sovereignty, isolation, and per-action cost/accountability for a real deployment.</w:t>
      </w:r>
    </w:p>
    <w:p>
      <w:pPr>
        <w:pStyle w:val="ListParagraph"/>
        <w:numPr>
          <w:ilvl w:val="0"/>
          <w:numId w:val="2"/>
        </w:numPr>
        <w:spacing w:after="70" w:line="268"/>
      </w:pPr>
      <w:r>
        <w:rPr>
          <w:color w:val="1B1A18"/>
          <w:sz w:val="20"/>
          <w:szCs w:val="20"/>
        </w:rPr>
        <w:t xml:space="preserve">Write a client- or board-ready evaluation report and a prioritised remediation plan.</w:t>
      </w:r>
    </w:p>
    <w:p>
      <w:pPr>
        <w:pStyle w:val="Heading1"/>
        <w:spacing w:after="140" w:before="320"/>
      </w:pPr>
      <w:r>
        <w:rPr>
          <w:b/>
          <w:bCs/>
          <w:color w:val="33302B"/>
          <w:sz w:val="29"/>
          <w:szCs w:val="29"/>
        </w:rPr>
        <w:t xml:space="preserve">Texts &amp; materials</w:t>
      </w:r>
    </w:p>
    <w:p>
      <w:pPr>
        <w:spacing w:after="120" w:line="276"/>
      </w:pPr>
      <w:r>
        <w:rPr>
          <w:b/>
          <w:bCs/>
          <w:color w:val="1B1A18"/>
          <w:sz w:val="20"/>
          <w:szCs w:val="20"/>
        </w:rPr>
        <w:t xml:space="preserve">Recommended (optional): </w:t>
      </w:r>
      <w:r>
        <w:rPr>
          <w:color w:val="1B1A18"/>
          <w:sz w:val="20"/>
          <w:szCs w:val="20"/>
        </w:rPr>
        <w:t xml:space="preserve">Georg Zangl, </w:t>
      </w:r>
      <w:r>
        <w:rPr>
          <w:i/>
          <w:iCs/>
          <w:color w:val="1B1A18"/>
          <w:sz w:val="20"/>
          <w:szCs w:val="20"/>
        </w:rPr>
        <w:t xml:space="preserve">What the Structure Does Not Carry</w:t>
      </w:r>
      <w:r>
        <w:rPr>
          <w:color w:val="1B1A18"/>
          <w:sz w:val="20"/>
          <w:szCs w:val="20"/>
        </w:rPr>
        <w:t xml:space="preserve"> (2026), foreword by Egbert U. Imomoh. The course is built on this book, but buying it is not required to take the course or to pass it. Every idea, test, and case the assessments rest on is developed in the sessions and provided in the course materials (cohort slides, the applied-exercise workbook, and the evaluation &amp; remediation toolkit). The chapter references in the schedule below are for participants who choose to read the book (Kindle edition ~US$2.99); they are optional enrichment and are never a prerequisite for any graded work.</w:t>
      </w:r>
    </w:p>
    <w:p>
      <w:pPr>
        <w:spacing w:after="120" w:line="276"/>
      </w:pPr>
      <w:r>
        <w:rPr>
          <w:b/>
          <w:bCs/>
          <w:color w:val="1B1A18"/>
          <w:sz w:val="20"/>
          <w:szCs w:val="20"/>
        </w:rPr>
        <w:t xml:space="preserve">Supplementary: </w:t>
      </w:r>
      <w:r>
        <w:rPr>
          <w:color w:val="1B1A18"/>
          <w:sz w:val="20"/>
          <w:szCs w:val="20"/>
        </w:rPr>
        <w:t xml:space="preserve">current regulatory texts and enforcement actions relevant to the participant’s domain (data residency, sanctions, audit); the book’s own ‘Sources and Notes’ for the documented consequence records. No vendor documentation or reference architecture is required — by design.</w:t>
      </w:r>
    </w:p>
    <w:p>
      <w:pPr>
        <w:spacing w:after="120" w:line="276"/>
      </w:pPr>
      <w:r>
        <w:rPr>
          <w:b/>
          <w:bCs/>
          <w:color w:val="1B1A18"/>
          <w:sz w:val="20"/>
          <w:szCs w:val="20"/>
        </w:rPr>
        <w:t xml:space="preserve">External evidence: </w:t>
      </w:r>
      <w:r>
        <w:rPr>
          <w:i/>
          <w:iCs/>
          <w:color w:val="1B1A18"/>
          <w:sz w:val="20"/>
          <w:szCs w:val="20"/>
        </w:rPr>
        <w:t xml:space="preserve">The 2026 Global AI in Financial Services Report</w:t>
      </w:r>
      <w:r>
        <w:rPr>
          <w:color w:val="1B1A18"/>
          <w:sz w:val="20"/>
          <w:szCs w:val="20"/>
        </w:rPr>
        <w:t xml:space="preserve"> (Cambridge Centre for Alternative Finance, University of Cambridge, April 2026; 628 organisations across 151 jurisdictions) supplies the independent adoption, risk, concentration, and measurement figures used in class. Those figures, their respondent cuts, and their session-by-session placement are held in </w:t>
      </w:r>
      <w:r>
        <w:rPr>
          <w:i/>
          <w:iCs/>
          <w:color w:val="1B1A18"/>
          <w:sz w:val="20"/>
          <w:szCs w:val="20"/>
        </w:rPr>
        <w:t xml:space="preserve">Evidence Base — External Corroboration and Teaching Figures</w:t>
      </w:r>
      <w:r>
        <w:rPr>
          <w:color w:val="1B1A18"/>
          <w:sz w:val="20"/>
          <w:szCs w:val="20"/>
        </w:rPr>
        <w:t xml:space="preserve"> (folder 8). Figures are as at April 2026 and will age; the teaching materials themselves deliberately carry none.</w:t>
      </w:r>
    </w:p>
    <w:p>
      <w:pPr>
        <w:pStyle w:val="Heading1"/>
        <w:spacing w:after="140" w:before="320"/>
      </w:pPr>
      <w:r>
        <w:rPr>
          <w:b/>
          <w:bCs/>
          <w:color w:val="33302B"/>
          <w:sz w:val="29"/>
          <w:szCs w:val="29"/>
        </w:rPr>
        <w:t xml:space="preserve">Weekly schedule</w:t>
      </w:r>
    </w:p>
    <w:p>
      <w:pPr>
        <w:spacing w:after="100" w:line="276"/>
      </w:pPr>
      <w:r>
        <w:rPr>
          <w:i/>
          <w:iCs/>
          <w:color w:val="6E6A62"/>
          <w:sz w:val="20"/>
          <w:szCs w:val="20"/>
        </w:rPr>
        <w:t xml:space="preserve">The “optional reading” column points participants who own the book to the matching chapters; the sessions and course materials cover everything the assessments require, so these readings are never mandatory. “Activity” shows the in-class focus and when deliverables are due.</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806"/>
        <w:gridCol w:w="3427"/>
        <w:gridCol w:w="3024"/>
        <w:gridCol w:w="2823"/>
      </w:tblGrid>
      <w:tr>
        <w:trPr>
          <w:tblHeader/>
        </w:trPr>
        <w:tc>
          <w:tcPr>
            <w:tcW w:type="dxa" w:w="806"/>
            <w:shd w:fill="33302B" w:color="auto" w:val="clear"/>
            <w:tcMar>
              <w:top w:type="dxa" w:w="60"/>
              <w:left w:type="dxa" w:w="90"/>
              <w:bottom w:type="dxa" w:w="60"/>
              <w:right w:type="dxa" w:w="90"/>
            </w:tcMar>
          </w:tcPr>
          <w:p>
            <w:pPr>
              <w:spacing w:after="0" w:line="250"/>
              <w:jc w:val="center"/>
            </w:pPr>
            <w:r>
              <w:rPr>
                <w:b/>
                <w:bCs/>
                <w:color w:val="FFFFFF"/>
                <w:sz w:val="18"/>
                <w:szCs w:val="18"/>
              </w:rPr>
              <w:t xml:space="preserve">Wk</w:t>
            </w:r>
          </w:p>
        </w:tc>
        <w:tc>
          <w:tcPr>
            <w:tcW w:type="dxa" w:w="3427"/>
            <w:shd w:fill="33302B" w:color="auto" w:val="clear"/>
            <w:tcMar>
              <w:top w:type="dxa" w:w="60"/>
              <w:left w:type="dxa" w:w="90"/>
              <w:bottom w:type="dxa" w:w="60"/>
              <w:right w:type="dxa" w:w="90"/>
            </w:tcMar>
          </w:tcPr>
          <w:p>
            <w:pPr>
              <w:spacing w:after="0" w:line="250"/>
            </w:pPr>
            <w:r>
              <w:rPr>
                <w:b/>
                <w:bCs/>
                <w:color w:val="FFFFFF"/>
                <w:sz w:val="18"/>
                <w:szCs w:val="18"/>
              </w:rPr>
              <w:t xml:space="preserve">Topic / Session</w:t>
            </w:r>
          </w:p>
        </w:tc>
        <w:tc>
          <w:tcPr>
            <w:tcW w:type="dxa" w:w="3024"/>
            <w:shd w:fill="33302B" w:color="auto" w:val="clear"/>
            <w:tcMar>
              <w:top w:type="dxa" w:w="60"/>
              <w:left w:type="dxa" w:w="90"/>
              <w:bottom w:type="dxa" w:w="60"/>
              <w:right w:type="dxa" w:w="90"/>
            </w:tcMar>
          </w:tcPr>
          <w:p>
            <w:pPr>
              <w:spacing w:after="0" w:line="250"/>
            </w:pPr>
            <w:r>
              <w:rPr>
                <w:b/>
                <w:bCs/>
                <w:color w:val="FFFFFF"/>
                <w:sz w:val="18"/>
                <w:szCs w:val="18"/>
              </w:rPr>
              <w:t xml:space="preserve">Optional reading (book)</w:t>
            </w:r>
          </w:p>
        </w:tc>
        <w:tc>
          <w:tcPr>
            <w:tcW w:type="dxa" w:w="2823"/>
            <w:shd w:fill="33302B" w:color="auto" w:val="clear"/>
            <w:tcMar>
              <w:top w:type="dxa" w:w="60"/>
              <w:left w:type="dxa" w:w="90"/>
              <w:bottom w:type="dxa" w:w="60"/>
              <w:right w:type="dxa" w:w="90"/>
            </w:tcMar>
          </w:tcPr>
          <w:p>
            <w:pPr>
              <w:spacing w:after="0" w:line="250"/>
            </w:pPr>
            <w:r>
              <w:rPr>
                <w:b/>
                <w:bCs/>
                <w:color w:val="FFFFFF"/>
                <w:sz w:val="18"/>
                <w:szCs w:val="18"/>
              </w:rPr>
              <w:t xml:space="preserve">In-class / assignment</w:t>
            </w:r>
          </w:p>
        </w:tc>
      </w:tr>
      <w:tr>
        <w:tc>
          <w:tcPr>
            <w:tcW w:type="dxa" w:w="806"/>
            <w:shd w:fill="FFFFFF" w:color="auto" w:val="clear"/>
            <w:tcMar>
              <w:top w:type="dxa" w:w="60"/>
              <w:left w:type="dxa" w:w="90"/>
              <w:bottom w:type="dxa" w:w="60"/>
              <w:right w:type="dxa" w:w="90"/>
            </w:tcMar>
          </w:tcPr>
          <w:p>
            <w:pPr>
              <w:spacing w:after="0" w:line="250"/>
              <w:jc w:val="center"/>
            </w:pPr>
            <w:r>
              <w:rPr>
                <w:b/>
                <w:bCs/>
                <w:color w:val="33302B"/>
                <w:sz w:val="18"/>
                <w:szCs w:val="18"/>
              </w:rPr>
              <w:t xml:space="preserve">1</w:t>
            </w:r>
          </w:p>
        </w:tc>
        <w:tc>
          <w:tcPr>
            <w:tcW w:type="dxa" w:w="3427"/>
            <w:shd w:fill="FFFFFF" w:color="auto" w:val="clear"/>
            <w:tcMar>
              <w:top w:type="dxa" w:w="60"/>
              <w:left w:type="dxa" w:w="90"/>
              <w:bottom w:type="dxa" w:w="60"/>
              <w:right w:type="dxa" w:w="90"/>
            </w:tcMar>
          </w:tcPr>
          <w:p>
            <w:pPr>
              <w:spacing w:after="0" w:line="250"/>
            </w:pPr>
            <w:r>
              <w:rPr>
                <w:color w:val="1B1A18"/>
                <w:sz w:val="18"/>
                <w:szCs w:val="18"/>
              </w:rPr>
              <w:t xml:space="preserve">The crossing as the unit of architecture</w:t>
            </w:r>
          </w:p>
        </w:tc>
        <w:tc>
          <w:tcPr>
            <w:tcW w:type="dxa" w:w="3024"/>
            <w:shd w:fill="FFFFFF" w:color="auto" w:val="clear"/>
            <w:tcMar>
              <w:top w:type="dxa" w:w="60"/>
              <w:left w:type="dxa" w:w="90"/>
              <w:bottom w:type="dxa" w:w="60"/>
              <w:right w:type="dxa" w:w="90"/>
            </w:tcMar>
          </w:tcPr>
          <w:p>
            <w:pPr>
              <w:spacing w:after="0" w:line="250"/>
            </w:pPr>
            <w:r>
              <w:rPr>
                <w:color w:val="6E6A62"/>
                <w:sz w:val="18"/>
                <w:szCs w:val="18"/>
              </w:rPr>
              <w:t xml:space="preserve">Part I; Ch. 4 (law)</w:t>
            </w:r>
          </w:p>
        </w:tc>
        <w:tc>
          <w:tcPr>
            <w:tcW w:type="dxa" w:w="2823"/>
            <w:shd w:fill="FFFFFF" w:color="auto" w:val="clear"/>
            <w:tcMar>
              <w:top w:type="dxa" w:w="60"/>
              <w:left w:type="dxa" w:w="90"/>
              <w:bottom w:type="dxa" w:w="60"/>
              <w:right w:type="dxa" w:w="90"/>
            </w:tcMar>
          </w:tcPr>
          <w:p>
            <w:pPr>
              <w:spacing w:after="0" w:line="250"/>
            </w:pPr>
            <w:r>
              <w:rPr>
                <w:color w:val="1B1A18"/>
                <w:sz w:val="18"/>
                <w:szCs w:val="18"/>
              </w:rPr>
              <w:t xml:space="preserve">Exercise: map crossings in your own current system</w:t>
            </w:r>
          </w:p>
        </w:tc>
      </w:tr>
      <w:tr>
        <w:tc>
          <w:tcPr>
            <w:tcW w:type="dxa" w:w="806"/>
            <w:shd w:fill="F4F2EE" w:color="auto" w:val="clear"/>
            <w:tcMar>
              <w:top w:type="dxa" w:w="60"/>
              <w:left w:type="dxa" w:w="90"/>
              <w:bottom w:type="dxa" w:w="60"/>
              <w:right w:type="dxa" w:w="90"/>
            </w:tcMar>
          </w:tcPr>
          <w:p>
            <w:pPr>
              <w:spacing w:after="0" w:line="250"/>
              <w:jc w:val="center"/>
            </w:pPr>
            <w:r>
              <w:rPr>
                <w:b/>
                <w:bCs/>
                <w:color w:val="33302B"/>
                <w:sz w:val="18"/>
                <w:szCs w:val="18"/>
              </w:rPr>
              <w:t xml:space="preserve">2</w:t>
            </w:r>
          </w:p>
        </w:tc>
        <w:tc>
          <w:tcPr>
            <w:tcW w:type="dxa" w:w="3427"/>
            <w:shd w:fill="F4F2EE" w:color="auto" w:val="clear"/>
            <w:tcMar>
              <w:top w:type="dxa" w:w="60"/>
              <w:left w:type="dxa" w:w="90"/>
              <w:bottom w:type="dxa" w:w="60"/>
              <w:right w:type="dxa" w:w="90"/>
            </w:tcMar>
          </w:tcPr>
          <w:p>
            <w:pPr>
              <w:spacing w:after="0" w:line="250"/>
            </w:pPr>
            <w:r>
              <w:rPr>
                <w:color w:val="1B1A18"/>
                <w:sz w:val="18"/>
                <w:szCs w:val="18"/>
              </w:rPr>
              <w:t xml:space="preserve">The six properties and their characteristic failures</w:t>
            </w:r>
          </w:p>
        </w:tc>
        <w:tc>
          <w:tcPr>
            <w:tcW w:type="dxa" w:w="3024"/>
            <w:shd w:fill="F4F2EE" w:color="auto" w:val="clear"/>
            <w:tcMar>
              <w:top w:type="dxa" w:w="60"/>
              <w:left w:type="dxa" w:w="90"/>
              <w:bottom w:type="dxa" w:w="60"/>
              <w:right w:type="dxa" w:w="90"/>
            </w:tcMar>
          </w:tcPr>
          <w:p>
            <w:pPr>
              <w:spacing w:after="0" w:line="250"/>
            </w:pPr>
            <w:r>
              <w:rPr>
                <w:color w:val="6E6A62"/>
                <w:sz w:val="18"/>
                <w:szCs w:val="18"/>
              </w:rPr>
              <w:t xml:space="preserve">Ch. 4 (properties)</w:t>
            </w:r>
          </w:p>
        </w:tc>
        <w:tc>
          <w:tcPr>
            <w:tcW w:type="dxa" w:w="2823"/>
            <w:shd w:fill="F4F2EE" w:color="auto" w:val="clear"/>
            <w:tcMar>
              <w:top w:type="dxa" w:w="60"/>
              <w:left w:type="dxa" w:w="90"/>
              <w:bottom w:type="dxa" w:w="60"/>
              <w:right w:type="dxa" w:w="90"/>
            </w:tcMar>
          </w:tcPr>
          <w:p>
            <w:pPr>
              <w:spacing w:after="0" w:line="250"/>
            </w:pPr>
            <w:r>
              <w:rPr>
                <w:color w:val="1B1A18"/>
                <w:sz w:val="18"/>
                <w:szCs w:val="18"/>
              </w:rPr>
              <w:t xml:space="preserve">Diagnostic clinic: identify missing properties from failure symptoms</w:t>
            </w:r>
          </w:p>
        </w:tc>
      </w:tr>
      <w:tr>
        <w:tc>
          <w:tcPr>
            <w:tcW w:type="dxa" w:w="806"/>
            <w:shd w:fill="FFFFFF" w:color="auto" w:val="clear"/>
            <w:tcMar>
              <w:top w:type="dxa" w:w="60"/>
              <w:left w:type="dxa" w:w="90"/>
              <w:bottom w:type="dxa" w:w="60"/>
              <w:right w:type="dxa" w:w="90"/>
            </w:tcMar>
          </w:tcPr>
          <w:p>
            <w:pPr>
              <w:spacing w:after="0" w:line="250"/>
              <w:jc w:val="center"/>
            </w:pPr>
            <w:r>
              <w:rPr>
                <w:b/>
                <w:bCs/>
                <w:color w:val="33302B"/>
                <w:sz w:val="18"/>
                <w:szCs w:val="18"/>
              </w:rPr>
              <w:t xml:space="preserve">3</w:t>
            </w:r>
          </w:p>
        </w:tc>
        <w:tc>
          <w:tcPr>
            <w:tcW w:type="dxa" w:w="3427"/>
            <w:shd w:fill="FFFFFF" w:color="auto" w:val="clear"/>
            <w:tcMar>
              <w:top w:type="dxa" w:w="60"/>
              <w:left w:type="dxa" w:w="90"/>
              <w:bottom w:type="dxa" w:w="60"/>
              <w:right w:type="dxa" w:w="90"/>
            </w:tcMar>
          </w:tcPr>
          <w:p>
            <w:pPr>
              <w:spacing w:after="0" w:line="250"/>
            </w:pPr>
            <w:r>
              <w:rPr>
                <w:color w:val="1B1A18"/>
                <w:sz w:val="18"/>
                <w:szCs w:val="18"/>
              </w:rPr>
              <w:t xml:space="preserve">The axioms and the location of governance</w:t>
            </w:r>
          </w:p>
        </w:tc>
        <w:tc>
          <w:tcPr>
            <w:tcW w:type="dxa" w:w="3024"/>
            <w:shd w:fill="FFFFFF" w:color="auto" w:val="clear"/>
            <w:tcMar>
              <w:top w:type="dxa" w:w="60"/>
              <w:left w:type="dxa" w:w="90"/>
              <w:bottom w:type="dxa" w:w="60"/>
              <w:right w:type="dxa" w:w="90"/>
            </w:tcMar>
          </w:tcPr>
          <w:p>
            <w:pPr>
              <w:spacing w:after="0" w:line="250"/>
            </w:pPr>
            <w:r>
              <w:rPr>
                <w:color w:val="6E6A62"/>
                <w:sz w:val="18"/>
                <w:szCs w:val="18"/>
              </w:rPr>
              <w:t xml:space="preserve">Ch. 5; Ch. 9</w:t>
            </w:r>
          </w:p>
        </w:tc>
        <w:tc>
          <w:tcPr>
            <w:tcW w:type="dxa" w:w="2823"/>
            <w:shd w:fill="FFFFFF" w:color="auto" w:val="clear"/>
            <w:tcMar>
              <w:top w:type="dxa" w:w="60"/>
              <w:left w:type="dxa" w:w="90"/>
              <w:bottom w:type="dxa" w:w="60"/>
              <w:right w:type="dxa" w:w="90"/>
            </w:tcMar>
          </w:tcPr>
          <w:p>
            <w:pPr>
              <w:spacing w:after="0" w:line="250"/>
            </w:pPr>
            <w:r>
              <w:rPr>
                <w:color w:val="1B1A18"/>
                <w:sz w:val="18"/>
                <w:szCs w:val="18"/>
              </w:rPr>
              <w:t xml:space="preserve">Address test: find every hard ‘never’ and its enforcement point</w:t>
            </w:r>
          </w:p>
        </w:tc>
      </w:tr>
      <w:tr>
        <w:tc>
          <w:tcPr>
            <w:tcW w:type="dxa" w:w="806"/>
            <w:shd w:fill="F4F2EE" w:color="auto" w:val="clear"/>
            <w:tcMar>
              <w:top w:type="dxa" w:w="60"/>
              <w:left w:type="dxa" w:w="90"/>
              <w:bottom w:type="dxa" w:w="60"/>
              <w:right w:type="dxa" w:w="90"/>
            </w:tcMar>
          </w:tcPr>
          <w:p>
            <w:pPr>
              <w:spacing w:after="0" w:line="250"/>
              <w:jc w:val="center"/>
            </w:pPr>
            <w:r>
              <w:rPr>
                <w:b/>
                <w:bCs/>
                <w:color w:val="33302B"/>
                <w:sz w:val="18"/>
                <w:szCs w:val="18"/>
              </w:rPr>
              <w:t xml:space="preserve">4</w:t>
            </w:r>
          </w:p>
        </w:tc>
        <w:tc>
          <w:tcPr>
            <w:tcW w:type="dxa" w:w="3427"/>
            <w:shd w:fill="F4F2EE" w:color="auto" w:val="clear"/>
            <w:tcMar>
              <w:top w:type="dxa" w:w="60"/>
              <w:left w:type="dxa" w:w="90"/>
              <w:bottom w:type="dxa" w:w="60"/>
              <w:right w:type="dxa" w:w="90"/>
            </w:tcMar>
          </w:tcPr>
          <w:p>
            <w:pPr>
              <w:spacing w:after="0" w:line="250"/>
            </w:pPr>
            <w:r>
              <w:rPr>
                <w:color w:val="1B1A18"/>
                <w:sz w:val="18"/>
                <w:szCs w:val="18"/>
              </w:rPr>
              <w:t xml:space="preserve">Identity, seams, and configuration-time decisions</w:t>
            </w:r>
          </w:p>
        </w:tc>
        <w:tc>
          <w:tcPr>
            <w:tcW w:type="dxa" w:w="3024"/>
            <w:shd w:fill="F4F2EE" w:color="auto" w:val="clear"/>
            <w:tcMar>
              <w:top w:type="dxa" w:w="60"/>
              <w:left w:type="dxa" w:w="90"/>
              <w:bottom w:type="dxa" w:w="60"/>
              <w:right w:type="dxa" w:w="90"/>
            </w:tcMar>
          </w:tcPr>
          <w:p>
            <w:pPr>
              <w:spacing w:after="0" w:line="250"/>
            </w:pPr>
            <w:r>
              <w:rPr>
                <w:color w:val="6E6A62"/>
                <w:sz w:val="18"/>
                <w:szCs w:val="18"/>
              </w:rPr>
              <w:t xml:space="preserve">Ch. 8; Ch. 10–11</w:t>
            </w:r>
          </w:p>
        </w:tc>
        <w:tc>
          <w:tcPr>
            <w:tcW w:type="dxa" w:w="2823"/>
            <w:shd w:fill="F4F2EE" w:color="auto" w:val="clear"/>
            <w:tcMar>
              <w:top w:type="dxa" w:w="60"/>
              <w:left w:type="dxa" w:w="90"/>
              <w:bottom w:type="dxa" w:w="60"/>
              <w:right w:type="dxa" w:w="90"/>
            </w:tcMar>
          </w:tcPr>
          <w:p>
            <w:pPr>
              <w:spacing w:after="0" w:line="250"/>
            </w:pPr>
            <w:r>
              <w:rPr>
                <w:color w:val="1B1A18"/>
                <w:sz w:val="18"/>
                <w:szCs w:val="18"/>
              </w:rPr>
              <w:t xml:space="preserve">Origin test &amp; expressibility test on a real integration</w:t>
            </w:r>
          </w:p>
        </w:tc>
      </w:tr>
      <w:tr>
        <w:tc>
          <w:tcPr>
            <w:tcW w:type="dxa" w:w="806"/>
            <w:shd w:fill="FFFFFF" w:color="auto" w:val="clear"/>
            <w:tcMar>
              <w:top w:type="dxa" w:w="60"/>
              <w:left w:type="dxa" w:w="90"/>
              <w:bottom w:type="dxa" w:w="60"/>
              <w:right w:type="dxa" w:w="90"/>
            </w:tcMar>
          </w:tcPr>
          <w:p>
            <w:pPr>
              <w:spacing w:after="0" w:line="250"/>
              <w:jc w:val="center"/>
            </w:pPr>
            <w:r>
              <w:rPr>
                <w:b/>
                <w:bCs/>
                <w:color w:val="33302B"/>
                <w:sz w:val="18"/>
                <w:szCs w:val="18"/>
              </w:rPr>
              <w:t xml:space="preserve">5</w:t>
            </w:r>
          </w:p>
        </w:tc>
        <w:tc>
          <w:tcPr>
            <w:tcW w:type="dxa" w:w="3427"/>
            <w:shd w:fill="FFFFFF" w:color="auto" w:val="clear"/>
            <w:tcMar>
              <w:top w:type="dxa" w:w="60"/>
              <w:left w:type="dxa" w:w="90"/>
              <w:bottom w:type="dxa" w:w="60"/>
              <w:right w:type="dxa" w:w="90"/>
            </w:tcMar>
          </w:tcPr>
          <w:p>
            <w:pPr>
              <w:spacing w:after="0" w:line="250"/>
            </w:pPr>
            <w:r>
              <w:rPr>
                <w:color w:val="1B1A18"/>
                <w:sz w:val="18"/>
                <w:szCs w:val="18"/>
              </w:rPr>
              <w:t xml:space="preserve">Context and memory custody in practice</w:t>
            </w:r>
          </w:p>
        </w:tc>
        <w:tc>
          <w:tcPr>
            <w:tcW w:type="dxa" w:w="3024"/>
            <w:shd w:fill="FFFFFF" w:color="auto" w:val="clear"/>
            <w:tcMar>
              <w:top w:type="dxa" w:w="60"/>
              <w:left w:type="dxa" w:w="90"/>
              <w:bottom w:type="dxa" w:w="60"/>
              <w:right w:type="dxa" w:w="90"/>
            </w:tcMar>
          </w:tcPr>
          <w:p>
            <w:pPr>
              <w:spacing w:after="0" w:line="250"/>
            </w:pPr>
            <w:r>
              <w:rPr>
                <w:color w:val="6E6A62"/>
                <w:sz w:val="18"/>
                <w:szCs w:val="18"/>
              </w:rPr>
              <w:t xml:space="preserve">Ch. 12–15</w:t>
            </w:r>
          </w:p>
        </w:tc>
        <w:tc>
          <w:tcPr>
            <w:tcW w:type="dxa" w:w="2823"/>
            <w:shd w:fill="FFFFFF" w:color="auto" w:val="clear"/>
            <w:tcMar>
              <w:top w:type="dxa" w:w="60"/>
              <w:left w:type="dxa" w:w="90"/>
              <w:bottom w:type="dxa" w:w="60"/>
              <w:right w:type="dxa" w:w="90"/>
            </w:tcMar>
          </w:tcPr>
          <w:p>
            <w:pPr>
              <w:spacing w:after="0" w:line="250"/>
            </w:pPr>
            <w:r>
              <w:rPr>
                <w:color w:val="1B1A18"/>
                <w:sz w:val="18"/>
                <w:szCs w:val="18"/>
              </w:rPr>
              <w:t xml:space="preserve">Design a write-ceremony + provenance scheme; spot the reconstruction tax</w:t>
            </w:r>
          </w:p>
        </w:tc>
      </w:tr>
      <w:tr>
        <w:tc>
          <w:tcPr>
            <w:tcW w:type="dxa" w:w="806"/>
            <w:shd w:fill="F4F2EE" w:color="auto" w:val="clear"/>
            <w:tcMar>
              <w:top w:type="dxa" w:w="60"/>
              <w:left w:type="dxa" w:w="90"/>
              <w:bottom w:type="dxa" w:w="60"/>
              <w:right w:type="dxa" w:w="90"/>
            </w:tcMar>
          </w:tcPr>
          <w:p>
            <w:pPr>
              <w:spacing w:after="0" w:line="250"/>
              <w:jc w:val="center"/>
            </w:pPr>
            <w:r>
              <w:rPr>
                <w:b/>
                <w:bCs/>
                <w:color w:val="33302B"/>
                <w:sz w:val="18"/>
                <w:szCs w:val="18"/>
              </w:rPr>
              <w:t xml:space="preserve">6</w:t>
            </w:r>
          </w:p>
        </w:tc>
        <w:tc>
          <w:tcPr>
            <w:tcW w:type="dxa" w:w="3427"/>
            <w:shd w:fill="F4F2EE" w:color="auto" w:val="clear"/>
            <w:tcMar>
              <w:top w:type="dxa" w:w="60"/>
              <w:left w:type="dxa" w:w="90"/>
              <w:bottom w:type="dxa" w:w="60"/>
              <w:right w:type="dxa" w:w="90"/>
            </w:tcMar>
          </w:tcPr>
          <w:p>
            <w:pPr>
              <w:spacing w:after="0" w:line="250"/>
            </w:pPr>
            <w:r>
              <w:rPr>
                <w:color w:val="1B1A18"/>
                <w:sz w:val="18"/>
                <w:szCs w:val="18"/>
              </w:rPr>
              <w:t xml:space="preserve">Sovereignty, isolation, and cost</w:t>
            </w:r>
          </w:p>
        </w:tc>
        <w:tc>
          <w:tcPr>
            <w:tcW w:type="dxa" w:w="3024"/>
            <w:shd w:fill="F4F2EE" w:color="auto" w:val="clear"/>
            <w:tcMar>
              <w:top w:type="dxa" w:w="60"/>
              <w:left w:type="dxa" w:w="90"/>
              <w:bottom w:type="dxa" w:w="60"/>
              <w:right w:type="dxa" w:w="90"/>
            </w:tcMar>
          </w:tcPr>
          <w:p>
            <w:pPr>
              <w:spacing w:after="0" w:line="250"/>
            </w:pPr>
            <w:r>
              <w:rPr>
                <w:color w:val="6E6A62"/>
                <w:sz w:val="18"/>
                <w:szCs w:val="18"/>
              </w:rPr>
              <w:t xml:space="preserve">Ch. 16–17; Ch. 19</w:t>
            </w:r>
          </w:p>
        </w:tc>
        <w:tc>
          <w:tcPr>
            <w:tcW w:type="dxa" w:w="2823"/>
            <w:shd w:fill="F4F2EE" w:color="auto" w:val="clear"/>
            <w:tcMar>
              <w:top w:type="dxa" w:w="60"/>
              <w:left w:type="dxa" w:w="90"/>
              <w:bottom w:type="dxa" w:w="60"/>
              <w:right w:type="dxa" w:w="90"/>
            </w:tcMar>
          </w:tcPr>
          <w:p>
            <w:pPr>
              <w:spacing w:after="0" w:line="250"/>
            </w:pPr>
            <w:r>
              <w:rPr>
                <w:color w:val="1B1A18"/>
                <w:sz w:val="18"/>
                <w:szCs w:val="18"/>
              </w:rPr>
              <w:t xml:space="preserve">Dependency census, substitution test, two-invoices test</w:t>
            </w:r>
          </w:p>
        </w:tc>
      </w:tr>
      <w:tr>
        <w:tc>
          <w:tcPr>
            <w:tcW w:type="dxa" w:w="806"/>
            <w:shd w:fill="FFFFFF" w:color="auto" w:val="clear"/>
            <w:tcMar>
              <w:top w:type="dxa" w:w="60"/>
              <w:left w:type="dxa" w:w="90"/>
              <w:bottom w:type="dxa" w:w="60"/>
              <w:right w:type="dxa" w:w="90"/>
            </w:tcMar>
          </w:tcPr>
          <w:p>
            <w:pPr>
              <w:spacing w:after="0" w:line="250"/>
              <w:jc w:val="center"/>
            </w:pPr>
            <w:r>
              <w:rPr>
                <w:b/>
                <w:bCs/>
                <w:color w:val="33302B"/>
                <w:sz w:val="18"/>
                <w:szCs w:val="18"/>
              </w:rPr>
              <w:t xml:space="preserve">7</w:t>
            </w:r>
          </w:p>
        </w:tc>
        <w:tc>
          <w:tcPr>
            <w:tcW w:type="dxa" w:w="3427"/>
            <w:shd w:fill="FFFFFF" w:color="auto" w:val="clear"/>
            <w:tcMar>
              <w:top w:type="dxa" w:w="60"/>
              <w:left w:type="dxa" w:w="90"/>
              <w:bottom w:type="dxa" w:w="60"/>
              <w:right w:type="dxa" w:w="90"/>
            </w:tcMar>
          </w:tcPr>
          <w:p>
            <w:pPr>
              <w:spacing w:after="0" w:line="250"/>
            </w:pPr>
            <w:r>
              <w:rPr>
                <w:color w:val="1B1A18"/>
                <w:sz w:val="18"/>
                <w:szCs w:val="18"/>
              </w:rPr>
              <w:t xml:space="preserve">The nine-test evaluation protocol — applied</w:t>
            </w:r>
          </w:p>
        </w:tc>
        <w:tc>
          <w:tcPr>
            <w:tcW w:type="dxa" w:w="3024"/>
            <w:shd w:fill="FFFFFF" w:color="auto" w:val="clear"/>
            <w:tcMar>
              <w:top w:type="dxa" w:w="60"/>
              <w:left w:type="dxa" w:w="90"/>
              <w:bottom w:type="dxa" w:w="60"/>
              <w:right w:type="dxa" w:w="90"/>
            </w:tcMar>
          </w:tcPr>
          <w:p>
            <w:pPr>
              <w:spacing w:after="0" w:line="250"/>
            </w:pPr>
            <w:r>
              <w:rPr>
                <w:color w:val="6E6A62"/>
                <w:sz w:val="18"/>
                <w:szCs w:val="18"/>
              </w:rPr>
              <w:t xml:space="preserve">Ch. 22</w:t>
            </w:r>
          </w:p>
        </w:tc>
        <w:tc>
          <w:tcPr>
            <w:tcW w:type="dxa" w:w="2823"/>
            <w:shd w:fill="FFFFFF" w:color="auto" w:val="clear"/>
            <w:tcMar>
              <w:top w:type="dxa" w:w="60"/>
              <w:left w:type="dxa" w:w="90"/>
              <w:bottom w:type="dxa" w:w="60"/>
              <w:right w:type="dxa" w:w="90"/>
            </w:tcMar>
          </w:tcPr>
          <w:p>
            <w:pPr>
              <w:spacing w:after="0" w:line="250"/>
            </w:pPr>
            <w:r>
              <w:rPr>
                <w:color w:val="1B1A18"/>
                <w:sz w:val="18"/>
                <w:szCs w:val="18"/>
              </w:rPr>
              <w:t xml:space="preserve">Full protocol dry-run against a supplied vendor architecture</w:t>
            </w:r>
          </w:p>
        </w:tc>
      </w:tr>
      <w:tr>
        <w:tc>
          <w:tcPr>
            <w:tcW w:type="dxa" w:w="806"/>
            <w:shd w:fill="F4F2EE" w:color="auto" w:val="clear"/>
            <w:tcMar>
              <w:top w:type="dxa" w:w="60"/>
              <w:left w:type="dxa" w:w="90"/>
              <w:bottom w:type="dxa" w:w="60"/>
              <w:right w:type="dxa" w:w="90"/>
            </w:tcMar>
          </w:tcPr>
          <w:p>
            <w:pPr>
              <w:spacing w:after="0" w:line="250"/>
              <w:jc w:val="center"/>
            </w:pPr>
            <w:r>
              <w:rPr>
                <w:b/>
                <w:bCs/>
                <w:color w:val="33302B"/>
                <w:sz w:val="18"/>
                <w:szCs w:val="18"/>
              </w:rPr>
              <w:t xml:space="preserve">8</w:t>
            </w:r>
          </w:p>
        </w:tc>
        <w:tc>
          <w:tcPr>
            <w:tcW w:type="dxa" w:w="3427"/>
            <w:shd w:fill="F4F2EE" w:color="auto" w:val="clear"/>
            <w:tcMar>
              <w:top w:type="dxa" w:w="60"/>
              <w:left w:type="dxa" w:w="90"/>
              <w:bottom w:type="dxa" w:w="60"/>
              <w:right w:type="dxa" w:w="90"/>
            </w:tcMar>
          </w:tcPr>
          <w:p>
            <w:pPr>
              <w:spacing w:after="0" w:line="250"/>
            </w:pPr>
            <w:r>
              <w:rPr>
                <w:color w:val="1B1A18"/>
                <w:sz w:val="18"/>
                <w:szCs w:val="18"/>
              </w:rPr>
              <w:t xml:space="preserve">The custody rules; capstone review</w:t>
            </w:r>
          </w:p>
        </w:tc>
        <w:tc>
          <w:tcPr>
            <w:tcW w:type="dxa" w:w="3024"/>
            <w:shd w:fill="F4F2EE" w:color="auto" w:val="clear"/>
            <w:tcMar>
              <w:top w:type="dxa" w:w="60"/>
              <w:left w:type="dxa" w:w="90"/>
              <w:bottom w:type="dxa" w:w="60"/>
              <w:right w:type="dxa" w:w="90"/>
            </w:tcMar>
          </w:tcPr>
          <w:p>
            <w:pPr>
              <w:spacing w:after="0" w:line="250"/>
            </w:pPr>
            <w:r>
              <w:rPr>
                <w:color w:val="6E6A62"/>
                <w:sz w:val="18"/>
                <w:szCs w:val="18"/>
              </w:rPr>
              <w:t xml:space="preserve">Ch. 23</w:t>
            </w:r>
          </w:p>
        </w:tc>
        <w:tc>
          <w:tcPr>
            <w:tcW w:type="dxa" w:w="2823"/>
            <w:shd w:fill="F4F2EE" w:color="auto" w:val="clear"/>
            <w:tcMar>
              <w:top w:type="dxa" w:w="60"/>
              <w:left w:type="dxa" w:w="90"/>
              <w:bottom w:type="dxa" w:w="60"/>
              <w:right w:type="dxa" w:w="90"/>
            </w:tcMar>
          </w:tcPr>
          <w:p>
            <w:pPr>
              <w:spacing w:after="0" w:line="250"/>
            </w:pPr>
            <w:r>
              <w:rPr>
                <w:color w:val="1B1A18"/>
                <w:sz w:val="18"/>
                <w:szCs w:val="18"/>
              </w:rPr>
              <w:t xml:space="preserve">Capstone evaluation report &amp; remediation plan due; peer review</w:t>
            </w:r>
          </w:p>
        </w:tc>
      </w:tr>
    </w:tbl>
    <w:p>
      <w:r>
        <w:br w:type="page"/>
      </w:r>
    </w:p>
    <w:p>
      <w:pPr>
        <w:pStyle w:val="Heading1"/>
        <w:spacing w:after="140" w:before="320"/>
      </w:pPr>
      <w:r>
        <w:rPr>
          <w:b/>
          <w:bCs/>
          <w:color w:val="33302B"/>
          <w:sz w:val="29"/>
          <w:szCs w:val="29"/>
        </w:rPr>
        <w:t xml:space="preserve">Assessment &amp; grading</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7258"/>
        <w:gridCol w:w="2822"/>
      </w:tblGrid>
      <w:tr>
        <w:trPr>
          <w:tblHeader/>
        </w:trPr>
        <w:tc>
          <w:tcPr>
            <w:tcW w:type="dxa" w:w="7258"/>
            <w:shd w:fill="33302B" w:color="auto" w:val="clear"/>
            <w:tcMar>
              <w:top w:type="dxa" w:w="60"/>
              <w:left w:type="dxa" w:w="90"/>
              <w:bottom w:type="dxa" w:w="60"/>
              <w:right w:type="dxa" w:w="90"/>
            </w:tcMar>
          </w:tcPr>
          <w:p>
            <w:pPr>
              <w:spacing w:after="0" w:line="250"/>
            </w:pPr>
            <w:r>
              <w:rPr>
                <w:b/>
                <w:bCs/>
                <w:color w:val="FFFFFF"/>
                <w:sz w:val="18"/>
                <w:szCs w:val="18"/>
              </w:rPr>
              <w:t xml:space="preserve">Assessment component</w:t>
            </w:r>
          </w:p>
        </w:tc>
        <w:tc>
          <w:tcPr>
            <w:tcW w:type="dxa" w:w="2822"/>
            <w:shd w:fill="33302B" w:color="auto" w:val="clear"/>
            <w:tcMar>
              <w:top w:type="dxa" w:w="60"/>
              <w:left w:type="dxa" w:w="90"/>
              <w:bottom w:type="dxa" w:w="60"/>
              <w:right w:type="dxa" w:w="90"/>
            </w:tcMar>
          </w:tcPr>
          <w:p>
            <w:pPr>
              <w:spacing w:after="0" w:line="250"/>
              <w:jc w:val="center"/>
            </w:pPr>
            <w:r>
              <w:rPr>
                <w:b/>
                <w:bCs/>
                <w:color w:val="FFFFFF"/>
                <w:sz w:val="18"/>
                <w:szCs w:val="18"/>
              </w:rPr>
              <w:t xml:space="preserve">Weight</w:t>
            </w:r>
          </w:p>
        </w:tc>
      </w:tr>
      <w:tr>
        <w:tc>
          <w:tcPr>
            <w:tcW w:type="dxa" w:w="7258"/>
            <w:shd w:fill="FFFFFF" w:color="auto" w:val="clear"/>
            <w:tcMar>
              <w:top w:type="dxa" w:w="60"/>
              <w:left w:type="dxa" w:w="90"/>
              <w:bottom w:type="dxa" w:w="60"/>
              <w:right w:type="dxa" w:w="90"/>
            </w:tcMar>
          </w:tcPr>
          <w:p>
            <w:pPr>
              <w:spacing w:after="0" w:line="250"/>
            </w:pPr>
            <w:r>
              <w:rPr>
                <w:color w:val="1B1A18"/>
                <w:sz w:val="18"/>
                <w:szCs w:val="18"/>
              </w:rPr>
              <w:t xml:space="preserve">Weekly applied exercises (7)</w:t>
            </w:r>
          </w:p>
        </w:tc>
        <w:tc>
          <w:tcPr>
            <w:tcW w:type="dxa" w:w="2822"/>
            <w:shd w:fill="FFFFFF" w:color="auto" w:val="clear"/>
            <w:tcMar>
              <w:top w:type="dxa" w:w="60"/>
              <w:left w:type="dxa" w:w="90"/>
              <w:bottom w:type="dxa" w:w="60"/>
              <w:right w:type="dxa" w:w="90"/>
            </w:tcMar>
          </w:tcPr>
          <w:p>
            <w:pPr>
              <w:spacing w:after="0" w:line="250"/>
              <w:jc w:val="center"/>
            </w:pPr>
            <w:r>
              <w:rPr>
                <w:b/>
                <w:bCs/>
                <w:color w:val="33302B"/>
                <w:sz w:val="18"/>
                <w:szCs w:val="18"/>
              </w:rPr>
              <w:t xml:space="preserve">40%</w:t>
            </w:r>
          </w:p>
        </w:tc>
      </w:tr>
      <w:tr>
        <w:tc>
          <w:tcPr>
            <w:tcW w:type="dxa" w:w="7258"/>
            <w:shd w:fill="F4F2EE" w:color="auto" w:val="clear"/>
            <w:tcMar>
              <w:top w:type="dxa" w:w="60"/>
              <w:left w:type="dxa" w:w="90"/>
              <w:bottom w:type="dxa" w:w="60"/>
              <w:right w:type="dxa" w:w="90"/>
            </w:tcMar>
          </w:tcPr>
          <w:p>
            <w:pPr>
              <w:spacing w:after="0" w:line="250"/>
            </w:pPr>
            <w:r>
              <w:rPr>
                <w:color w:val="1B1A18"/>
                <w:sz w:val="18"/>
                <w:szCs w:val="18"/>
              </w:rPr>
              <w:t xml:space="preserve">Capstone — evaluation report + remediation plan on a real/supplied agentic system</w:t>
            </w:r>
          </w:p>
        </w:tc>
        <w:tc>
          <w:tcPr>
            <w:tcW w:type="dxa" w:w="2822"/>
            <w:shd w:fill="F4F2EE" w:color="auto" w:val="clear"/>
            <w:tcMar>
              <w:top w:type="dxa" w:w="60"/>
              <w:left w:type="dxa" w:w="90"/>
              <w:bottom w:type="dxa" w:w="60"/>
              <w:right w:type="dxa" w:w="90"/>
            </w:tcMar>
          </w:tcPr>
          <w:p>
            <w:pPr>
              <w:spacing w:after="0" w:line="250"/>
              <w:jc w:val="center"/>
            </w:pPr>
            <w:r>
              <w:rPr>
                <w:b/>
                <w:bCs/>
                <w:color w:val="33302B"/>
                <w:sz w:val="18"/>
                <w:szCs w:val="18"/>
              </w:rPr>
              <w:t xml:space="preserve">60%</w:t>
            </w:r>
          </w:p>
        </w:tc>
      </w:tr>
      <w:tr>
        <w:tc>
          <w:tcPr>
            <w:tcW w:type="dxa" w:w="7258"/>
            <w:shd w:fill="EBE7DF" w:color="auto" w:val="clear"/>
            <w:tcMar>
              <w:top w:type="dxa" w:w="60"/>
              <w:left w:type="dxa" w:w="90"/>
              <w:bottom w:type="dxa" w:w="60"/>
              <w:right w:type="dxa" w:w="90"/>
            </w:tcMar>
          </w:tcPr>
          <w:p>
            <w:pPr>
              <w:spacing w:after="0" w:line="250"/>
            </w:pPr>
            <w:r>
              <w:rPr>
                <w:b/>
                <w:bCs/>
                <w:color w:val="1B1A18"/>
                <w:sz w:val="18"/>
                <w:szCs w:val="18"/>
              </w:rPr>
              <w:t xml:space="preserve">Total</w:t>
            </w:r>
          </w:p>
        </w:tc>
        <w:tc>
          <w:tcPr>
            <w:tcW w:type="dxa" w:w="2822"/>
            <w:shd w:fill="EBE7DF" w:color="auto" w:val="clear"/>
            <w:tcMar>
              <w:top w:type="dxa" w:w="60"/>
              <w:left w:type="dxa" w:w="90"/>
              <w:bottom w:type="dxa" w:w="60"/>
              <w:right w:type="dxa" w:w="90"/>
            </w:tcMar>
          </w:tcPr>
          <w:p>
            <w:pPr>
              <w:spacing w:after="0" w:line="250"/>
              <w:jc w:val="center"/>
            </w:pPr>
            <w:r>
              <w:rPr>
                <w:b/>
                <w:bCs/>
                <w:color w:val="1B1A18"/>
                <w:sz w:val="18"/>
                <w:szCs w:val="18"/>
              </w:rPr>
              <w:t xml:space="preserve">100%</w:t>
            </w:r>
          </w:p>
        </w:tc>
      </w:tr>
    </w:tbl>
    <w:p>
      <w:pPr>
        <w:spacing w:after="80"/>
      </w:pPr>
    </w:p>
    <w:p>
      <w:pPr>
        <w:pStyle w:val="Heading2"/>
        <w:spacing w:after="100" w:before="240"/>
      </w:pPr>
      <w:r>
        <w:rPr>
          <w:b/>
          <w:bCs/>
          <w:color w:val="1B1A18"/>
          <w:sz w:val="23"/>
          <w:szCs w:val="23"/>
        </w:rPr>
        <w:t xml:space="preserve">Capstone — Evaluation report &amp; remediation plan</w:t>
      </w:r>
    </w:p>
    <w:p>
      <w:pPr>
        <w:spacing w:after="120" w:line="276"/>
      </w:pPr>
      <w:r>
        <w:rPr>
          <w:color w:val="1B1A18"/>
          <w:sz w:val="20"/>
          <w:szCs w:val="20"/>
        </w:rPr>
        <w:t xml:space="preserve">Each participant runs the nine-test protocol end-to-end against a system of their choice — their own organisation’s agentic deployment, a vendor’s platform under evaluation, or a supplied reference case. Starting from the single-clause specification — show the crossing, and show what survives it — the participant works through onboarding, address, expressibility, origin, dependency, substitution, last-month, two-invoices, and outlive tests, recording the evidence (or its absence) for each.</w:t>
      </w:r>
    </w:p>
    <w:p>
      <w:pPr>
        <w:spacing w:after="120" w:line="276"/>
      </w:pPr>
      <w:r>
        <w:rPr>
          <w:color w:val="1B1A18"/>
          <w:sz w:val="20"/>
          <w:szCs w:val="20"/>
        </w:rPr>
        <w:t xml:space="preserve">Deliverables: a 6–8 page evaluation report with a per-test verdict and an overall custody assessment, plus a prioritised remediation plan mapping each gap to the property it endangers and the crossing where it must be fixed. ‘With distinction’ is awarded to reports whose tests genuinely bite — including against systems the participant is inclined to favour. Assessed on evidence discipline, correct property–crossing mapping, and actionability.</w:t>
      </w:r>
    </w:p>
    <w:p>
      <w:pPr>
        <w:pStyle w:val="Heading1"/>
        <w:spacing w:after="140" w:before="320"/>
      </w:pPr>
      <w:r>
        <w:rPr>
          <w:b/>
          <w:bCs/>
          <w:color w:val="33302B"/>
          <w:sz w:val="29"/>
          <w:szCs w:val="29"/>
        </w:rPr>
        <w:t xml:space="preserve">Reference: the book at a glance</w:t>
      </w:r>
    </w:p>
    <w:p>
      <w:pPr>
        <w:spacing w:after="80" w:line="276"/>
      </w:pPr>
      <w:r>
        <w:rPr>
          <w:color w:val="1B1A18"/>
          <w:sz w:val="20"/>
          <w:szCs w:val="20"/>
        </w:rPr>
        <w:t xml:space="preserve">The six parts the readings draw on:</w:t>
      </w:r>
    </w:p>
    <w:p>
      <w:pPr>
        <w:spacing w:after="90" w:line="276"/>
      </w:pPr>
      <w:r>
        <w:rPr>
          <w:b/>
          <w:bCs/>
          <w:color w:val="33302B"/>
          <w:sz w:val="20"/>
          <w:szCs w:val="20"/>
        </w:rPr>
        <w:t xml:space="preserve">Part I — The Invisible Layer (Ch. 1–3) — </w:t>
      </w:r>
      <w:r>
        <w:rPr>
          <w:color w:val="1B1A18"/>
          <w:sz w:val="20"/>
          <w:szCs w:val="20"/>
        </w:rPr>
        <w:t xml:space="preserve">The diagnosis: the human layer that carries meaning, authority and memory across every crossing, and why agentic AI withdraws that subsidy.</w:t>
      </w:r>
    </w:p>
    <w:p>
      <w:pPr>
        <w:spacing w:after="90" w:line="276"/>
      </w:pPr>
      <w:r>
        <w:rPr>
          <w:b/>
          <w:bCs/>
          <w:color w:val="33302B"/>
          <w:sz w:val="20"/>
          <w:szCs w:val="20"/>
        </w:rPr>
        <w:t xml:space="preserve">Part II — The Laws (Ch. 4–6) — </w:t>
      </w:r>
      <w:r>
        <w:rPr>
          <w:color w:val="1B1A18"/>
          <w:sz w:val="20"/>
          <w:szCs w:val="20"/>
        </w:rPr>
        <w:t xml:space="preserve">The custody law, the six conserved properties, the four axioms, and the preservation principle — structure holds, content moves.</w:t>
      </w:r>
    </w:p>
    <w:p>
      <w:pPr>
        <w:spacing w:after="90" w:line="276"/>
      </w:pPr>
      <w:r>
        <w:rPr>
          <w:b/>
          <w:bCs/>
          <w:color w:val="33302B"/>
          <w:sz w:val="20"/>
          <w:szCs w:val="20"/>
        </w:rPr>
        <w:t xml:space="preserve">Part III — Agentic AI (Ch. 7–11) — </w:t>
      </w:r>
      <w:r>
        <w:rPr>
          <w:color w:val="1B1A18"/>
          <w:sz w:val="20"/>
          <w:szCs w:val="20"/>
        </w:rPr>
        <w:t xml:space="preserve">Agents as participants, identity as data, governance in structure not models, trust at the seams, decisions at configuration time.</w:t>
      </w:r>
    </w:p>
    <w:p>
      <w:pPr>
        <w:spacing w:after="90" w:line="276"/>
      </w:pPr>
      <w:r>
        <w:rPr>
          <w:b/>
          <w:bCs/>
          <w:color w:val="33302B"/>
          <w:sz w:val="20"/>
          <w:szCs w:val="20"/>
        </w:rPr>
        <w:t xml:space="preserve">Part IV — Memory and Context (Ch. 12–15) — </w:t>
      </w:r>
      <w:r>
        <w:rPr>
          <w:color w:val="1B1A18"/>
          <w:sz w:val="20"/>
          <w:szCs w:val="20"/>
        </w:rPr>
        <w:t xml:space="preserve">Context is not data; content belongs in the store suited to its shape; durability needs ceremony; memory as an attack surface.</w:t>
      </w:r>
    </w:p>
    <w:p>
      <w:pPr>
        <w:spacing w:after="90" w:line="276"/>
      </w:pPr>
      <w:r>
        <w:rPr>
          <w:b/>
          <w:bCs/>
          <w:color w:val="33302B"/>
          <w:sz w:val="20"/>
          <w:szCs w:val="20"/>
        </w:rPr>
        <w:t xml:space="preserve">Part V — Strategic Consequences (Ch. 16–20) — </w:t>
      </w:r>
      <w:r>
        <w:rPr>
          <w:color w:val="1B1A18"/>
          <w:sz w:val="20"/>
          <w:szCs w:val="20"/>
        </w:rPr>
        <w:t xml:space="preserve">Isolation, sovereignty, governance at volume, the meter and the ledger (cost), infrastructure that outlives what it coordinates.</w:t>
      </w:r>
    </w:p>
    <w:p>
      <w:pPr>
        <w:spacing w:after="90" w:line="276"/>
      </w:pPr>
      <w:r>
        <w:rPr>
          <w:b/>
          <w:bCs/>
          <w:color w:val="33302B"/>
          <w:sz w:val="20"/>
          <w:szCs w:val="20"/>
        </w:rPr>
        <w:t xml:space="preserve">Part VI — Practice (Ch. 21–23) — </w:t>
      </w:r>
      <w:r>
        <w:rPr>
          <w:color w:val="1B1A18"/>
          <w:sz w:val="20"/>
          <w:szCs w:val="20"/>
        </w:rPr>
        <w:t xml:space="preserve">Preservation is not stasis; the nine-test evaluation protocol; the six custody rules and the rule above them.</w:t>
      </w:r>
    </w:p>
    <w:p>
      <w:pPr>
        <w:pBdr>
          <w:bottom w:val="single" w:color="D6D2C9" w:sz="8"/>
        </w:pBdr>
        <w:spacing w:after="100" w:before="160"/>
      </w:pPr>
      <w:r>
        <w:t xml:space="preserve"/>
      </w:r>
    </w:p>
    <w:p>
      <w:pPr>
        <w:spacing w:after="120" w:line="276"/>
        <w:jc w:val="center"/>
      </w:pPr>
      <w:r>
        <w:rPr>
          <w:i/>
          <w:iCs/>
          <w:color w:val="33302B"/>
          <w:sz w:val="20"/>
          <w:szCs w:val="20"/>
        </w:rPr>
        <w:t xml:space="preserve">The rule above the rules: “Every component must be replaceable, and no property ever may be.”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2C9" w:sz="6"/>
      </w:pBdr>
      <w:spacing w:before="60"/>
      <w:jc w:val="center"/>
    </w:pPr>
    <w:r>
      <w:rPr>
        <w:i/>
        <w:iCs/>
        <w:color w:val="6E6A62"/>
        <w:sz w:val="16"/>
        <w:szCs w:val="16"/>
      </w:rPr>
      <w:t xml:space="preserve">Based on </w:t>
    </w:r>
    <w:r>
      <w:rPr>
        <w:i/>
        <w:iCs/>
        <w:color w:val="6E6A62"/>
        <w:sz w:val="16"/>
        <w:szCs w:val="16"/>
      </w:rPr>
      <w:t xml:space="preserve">What the Structure Does Not Carry</w:t>
    </w:r>
    <w:r>
      <w:rPr>
        <w:color w:val="6E6A62"/>
        <w:sz w:val="16"/>
        <w:szCs w:val="16"/>
      </w:rPr>
      <w:t xml:space="preserve"> by Georg Zangl   •   Page </w:t>
    </w:r>
    <w:r>
      <w:rPr>
        <w:color w:val="6E6A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2C9" w:sz="6"/>
      </w:pBdr>
      <w:spacing w:after="60"/>
      <w:jc w:val="right"/>
    </w:pPr>
    <w:r>
      <w:rPr>
        <w:caps/>
        <w:color w:val="6E6A62"/>
        <w:sz w:val="16"/>
        <w:szCs w:val="16"/>
      </w:rPr>
      <w:t xml:space="preserve">Professional Certificate — The Custody Architect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33302B"/>
      </w:rPr>
    </w:lvl>
  </w:abstractNum>
  <w:abstractNum w:abstractNumId="3" w15:restartNumberingAfterBreak="0">
    <w:multiLevelType w:val="hybridMultilevel"/>
    <w:lvl w:ilvl="0" w15:tentative="1">
      <w:start w:val="1"/>
      <w:numFmt w:val="decimal"/>
      <w:lvlText w:val="LO%1."/>
      <w:lvlJc w:val="left"/>
      <w:pPr>
        <w:ind w:left="520" w:hanging="400"/>
      </w:pPr>
    </w:lvl>
  </w:abstractNum>
  <w:abstractNum w:abstractNumId="4"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5"/>
      <w:szCs w:val="55"/>
    </w:rPr>
  </w:style>
  <w:style w:type="paragraph" w:styleId="Heading1">
    <w:name w:val="Heading 1"/>
    <w:basedOn w:val="Normal"/>
    <w:next w:val="Normal"/>
    <w:qFormat/>
    <w:rPr>
      <w:color w:val="33302B"/>
      <w:sz w:val="31"/>
      <w:szCs w:val="31"/>
    </w:rPr>
  </w:style>
  <w:style w:type="paragraph" w:styleId="Heading2">
    <w:name w:val="Heading 2"/>
    <w:basedOn w:val="Normal"/>
    <w:next w:val="Normal"/>
    <w:qFormat/>
    <w:rPr>
      <w:color w:val="33302B"/>
      <w:sz w:val="25"/>
      <w:szCs w:val="25"/>
    </w:rPr>
  </w:style>
  <w:style w:type="paragraph" w:styleId="Heading3">
    <w:name w:val="Heading 3"/>
    <w:basedOn w:val="Normal"/>
    <w:next w:val="Normal"/>
    <w:qFormat/>
    <w:rPr>
      <w:color w:val="33302B"/>
      <w:sz w:val="23"/>
      <w:szCs w:val="23"/>
    </w:rPr>
  </w:style>
  <w:style w:type="paragraph" w:styleId="Heading4">
    <w:name w:val="Heading 4"/>
    <w:basedOn w:val="Normal"/>
    <w:next w:val="Normal"/>
    <w:qFormat/>
    <w:rPr>
      <w:i/>
      <w:iCs/>
      <w:color w:val="33302B"/>
    </w:rPr>
  </w:style>
  <w:style w:type="paragraph" w:styleId="Heading5">
    <w:name w:val="Heading 5"/>
    <w:basedOn w:val="Normal"/>
    <w:next w:val="Normal"/>
    <w:qFormat/>
    <w:rPr>
      <w:color w:val="33302B"/>
    </w:rPr>
  </w:style>
  <w:style w:type="paragraph" w:styleId="Heading6">
    <w:name w:val="Heading 6"/>
    <w:basedOn w:val="Normal"/>
    <w:next w:val="Normal"/>
    <w:qFormat/>
    <w:rPr>
      <w:color w:val="33302B"/>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57534A"/>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19"/>
      <w:szCs w:val="19"/>
    </w:rPr>
  </w:style>
  <w:style w:type="character" w:styleId="FootnoteTextChar">
    <w:name w:val="Footnote Text Char"/>
    <w:basedOn w:val="DefaultParagraphFont"/>
    <w:link w:val="FootnoteText"/>
    <w:uiPriority w:val="99"/>
    <w:semiHidden/>
    <w:unhideWhenUsed/>
    <w:rPr>
      <w:sz w:val="19"/>
      <w:szCs w:val="19"/>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19"/>
      <w:szCs w:val="19"/>
    </w:rPr>
  </w:style>
  <w:style w:type="character" w:styleId="EndnoteTextChar">
    <w:name w:val="Endnote Text Char"/>
    <w:basedOn w:val="DefaultParagraphFont"/>
    <w:link w:val="EndnoteText"/>
    <w:uiPriority w:val="99"/>
    <w:semiHidden/>
    <w:unhideWhenUsed/>
    <w:rPr>
      <w:sz w:val="19"/>
      <w:szCs w:val="19"/>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1B1A1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Custody Architect</dc:title>
  <dc:creator>MudoZangl — adapted from What the Structure Does Not Carry</dc:creator>
  <dc:description>Course syllabus adapted from the book by Georg Zangl</dc:description>
  <cp:lastModifiedBy>Un-named</cp:lastModifiedBy>
  <cp:revision>1</cp:revision>
  <dcterms:created xsi:type="dcterms:W3CDTF">2026-08-15T17:02:29.684Z</dcterms:created>
  <dcterms:modified xsi:type="dcterms:W3CDTF">2026-08-15T17:02:29.684Z</dcterms:modified>
</cp:coreProperties>
</file>

<file path=docProps/custom.xml><?xml version="1.0" encoding="utf-8"?>
<Properties xmlns="http://schemas.openxmlformats.org/officeDocument/2006/custom-properties" xmlns:vt="http://schemas.openxmlformats.org/officeDocument/2006/docPropsVTypes"/>
</file>