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60"/>
      </w:pPr>
      <w:r>
        <w:rPr>
          <w:b/>
          <w:bCs/>
          <w:caps/>
          <w:color w:val="33302B"/>
          <w:spacing w:val="40"/>
          <w:sz w:val="21"/>
          <w:szCs w:val="21"/>
        </w:rPr>
        <w:t xml:space="preserve">Reader</w:t>
      </w:r>
    </w:p>
    <w:p>
      <w:pPr>
        <w:pBdr>
          <w:bottom w:val="single" w:color="33302B" w:sz="12"/>
        </w:pBdr>
        <w:spacing w:after="120"/>
      </w:pPr>
      <w:r>
        <w:rPr>
          <w:b/>
          <w:bCs/>
          <w:color w:val="1B1A18"/>
          <w:sz w:val="43"/>
          <w:szCs w:val="43"/>
        </w:rPr>
        <w:t xml:space="preserve">Regulatory Casebook &amp; Standards Reader</w:t>
      </w:r>
    </w:p>
    <w:p>
      <w:pPr>
        <w:spacing w:after="260" w:before="140"/>
      </w:pPr>
      <w:r>
        <w:rPr>
          <w:i/>
          <w:iCs/>
          <w:color w:val="6E6A62"/>
          <w:sz w:val="22"/>
          <w:szCs w:val="22"/>
        </w:rPr>
        <w:t xml:space="preserve">Mapping the framework to standards · enforcement records · an examination protocol</w:t>
      </w:r>
    </w:p>
    <w:p>
      <w:pPr>
        <w:spacing w:after="40" w:line="276"/>
      </w:pPr>
      <w:r>
        <w:rPr>
          <w:b/>
          <w:bCs/>
          <w:color w:val="1B1A18"/>
          <w:sz w:val="20"/>
          <w:szCs w:val="20"/>
        </w:rPr>
        <w:t xml:space="preserve">Seminar: </w:t>
      </w:r>
      <w:r>
        <w:rPr>
          <w:color w:val="1B1A18"/>
          <w:sz w:val="20"/>
          <w:szCs w:val="20"/>
        </w:rPr>
        <w:t xml:space="preserve">Regulating the Agentic Enterprise (for regulators &amp; policy staff)</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220" w:line="276"/>
      </w:pPr>
      <w:r>
        <w:rPr>
          <w:b/>
          <w:bCs/>
          <w:color w:val="1B1A18"/>
          <w:sz w:val="20"/>
          <w:szCs w:val="20"/>
        </w:rPr>
        <w:t xml:space="preserve">Facilitator: </w:t>
      </w:r>
      <w:r>
        <w:rPr>
          <w:color w:val="1B1A18"/>
          <w:sz w:val="20"/>
          <w:szCs w:val="20"/>
        </w:rPr>
        <w:t xml:space="preserve">[Facilitator name]     </w:t>
      </w:r>
      <w:r>
        <w:rPr>
          <w:b/>
          <w:bCs/>
          <w:color w:val="1B1A18"/>
          <w:sz w:val="20"/>
          <w:szCs w:val="20"/>
        </w:rPr>
        <w:t xml:space="preserve">Session: </w:t>
      </w:r>
      <w:r>
        <w:rPr>
          <w:color w:val="1B1A18"/>
          <w:sz w:val="20"/>
          <w:szCs w:val="20"/>
        </w:rPr>
        <w:t xml:space="preserve">[Date / venue]</w:t>
      </w:r>
    </w:p>
    <w:p>
      <w:pPr>
        <w:pBdr>
          <w:top w:val="single" w:color="D6D2C9" w:sz="4"/>
          <w:bottom w:val="single" w:color="D6D2C9" w:sz="4"/>
          <w:left w:val="single" w:color="8A8378" w:sz="12"/>
          <w:right w:val="single" w:color="D6D2C9" w:sz="4"/>
        </w:pBdr>
        <w:spacing w:after="200" w:before="60" w:line="264"/>
        <w:ind w:left="160" w:right="160"/>
      </w:pPr>
      <w:r>
        <w:rPr>
          <w:b/>
          <w:bCs/>
          <w:color w:val="8A8378"/>
          <w:sz w:val="18"/>
          <w:szCs w:val="18"/>
        </w:rPr>
        <w:t xml:space="preserve">Educational material — not legal advice.  </w:t>
      </w:r>
      <w:r>
        <w:rPr>
          <w:color w:val="1B1A18"/>
          <w:sz w:val="17"/>
          <w:szCs w:val="17"/>
        </w:rPr>
        <w:t xml:space="preserve">This seminar applies an analytical framework (from the book) to supervisory practice. It is not legal advice and does not state the law of any jurisdiction. Case summaries are simplified for teaching; verify every standard, citation, and figure against current primary sources and the law in force in your jurisdiction before relying on it. Figures are stated as at mid-2026 and will age.</w:t>
      </w:r>
    </w:p>
    <w:p>
      <w:pPr>
        <w:spacing w:after="110" w:line="276"/>
      </w:pPr>
      <w:r>
        <w:rPr>
          <w:i/>
          <w:iCs/>
          <w:color w:val="6E6A62"/>
          <w:sz w:val="20"/>
          <w:szCs w:val="20"/>
        </w:rPr>
        <w:t xml:space="preserve">This reader has four parts: (A) how the six properties correspond to familiar regulatory standards; (B) a casebook of real enforcement and court records, each read for its supervisory lesson; (C) the nine-test examination protocol as a checklist; and (D) drafting notes for standards that bind a probabilistic system. Use it alongside the slides.</w:t>
      </w:r>
    </w:p>
    <w:p>
      <w:r>
        <w:br w:type="page"/>
      </w:r>
    </w:p>
    <w:p>
      <w:pPr>
        <w:pStyle w:val="Heading1"/>
        <w:spacing w:after="130" w:before="300"/>
      </w:pPr>
      <w:r>
        <w:rPr>
          <w:b/>
          <w:bCs/>
          <w:color w:val="33302B"/>
          <w:sz w:val="29"/>
          <w:szCs w:val="29"/>
        </w:rPr>
        <w:t xml:space="preserve">Part A — The six properties as regulatory standards</w:t>
      </w:r>
    </w:p>
    <w:p>
      <w:pPr>
        <w:spacing w:after="110" w:line="276"/>
      </w:pPr>
      <w:r>
        <w:rPr>
          <w:color w:val="1B1A18"/>
          <w:sz w:val="20"/>
          <w:szCs w:val="20"/>
        </w:rPr>
        <w:t xml:space="preserve">The framework’s six properties are not new legal concepts; they are the things regulation has always protected, named precisely enough to test. The correspondences below are illustrative, to orient supervisors — not statements of law. Map them to the specific instruments in force in your remit.</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100"/>
        <w:gridCol w:w="4780"/>
        <w:gridCol w:w="3200"/>
      </w:tblGrid>
      <w:tr>
        <w:trPr>
          <w:tblHeader/>
        </w:trPr>
        <w:tc>
          <w:tcPr>
            <w:tcW w:type="dxa" w:w="2100"/>
            <w:shd w:fill="33302B" w:color="auto" w:val="clear"/>
            <w:tcMar>
              <w:top w:type="dxa" w:w="55"/>
              <w:left w:type="dxa" w:w="90"/>
              <w:bottom w:type="dxa" w:w="55"/>
              <w:right w:type="dxa" w:w="90"/>
            </w:tcMar>
          </w:tcPr>
          <w:p>
            <w:pPr>
              <w:spacing w:after="0" w:line="248"/>
            </w:pPr>
            <w:r>
              <w:rPr>
                <w:b/>
                <w:bCs/>
                <w:color w:val="FFFFFF"/>
                <w:sz w:val="17"/>
                <w:szCs w:val="17"/>
              </w:rPr>
              <w:t xml:space="preserve">Property</w:t>
            </w:r>
          </w:p>
        </w:tc>
        <w:tc>
          <w:tcPr>
            <w:tcW w:type="dxa" w:w="4780"/>
            <w:shd w:fill="33302B" w:color="auto" w:val="clear"/>
            <w:tcMar>
              <w:top w:type="dxa" w:w="55"/>
              <w:left w:type="dxa" w:w="90"/>
              <w:bottom w:type="dxa" w:w="55"/>
              <w:right w:type="dxa" w:w="90"/>
            </w:tcMar>
          </w:tcPr>
          <w:p>
            <w:pPr>
              <w:spacing w:after="0" w:line="248"/>
            </w:pPr>
            <w:r>
              <w:rPr>
                <w:b/>
                <w:bCs/>
                <w:color w:val="FFFFFF"/>
                <w:sz w:val="17"/>
                <w:szCs w:val="17"/>
              </w:rPr>
              <w:t xml:space="preserve">Familiar regulatory analogue (illustrative)</w:t>
            </w:r>
          </w:p>
        </w:tc>
        <w:tc>
          <w:tcPr>
            <w:tcW w:type="dxa" w:w="3200"/>
            <w:shd w:fill="33302B" w:color="auto" w:val="clear"/>
            <w:tcMar>
              <w:top w:type="dxa" w:w="55"/>
              <w:left w:type="dxa" w:w="90"/>
              <w:bottom w:type="dxa" w:w="55"/>
              <w:right w:type="dxa" w:w="90"/>
            </w:tcMar>
          </w:tcPr>
          <w:p>
            <w:pPr>
              <w:spacing w:after="0" w:line="248"/>
            </w:pPr>
            <w:r>
              <w:rPr>
                <w:b/>
                <w:bCs/>
                <w:color w:val="FFFFFF"/>
                <w:sz w:val="17"/>
                <w:szCs w:val="17"/>
              </w:rPr>
              <w:t xml:space="preserve">Supervisory test (no source code)</w:t>
            </w:r>
          </w:p>
        </w:tc>
      </w:tr>
      <w:tr>
        <w:tc>
          <w:tcPr>
            <w:tcW w:type="dxa" w:w="2100"/>
            <w:shd w:fill="FFFFFF" w:color="auto" w:val="clear"/>
            <w:tcMar>
              <w:top w:type="dxa" w:w="55"/>
              <w:left w:type="dxa" w:w="90"/>
              <w:bottom w:type="dxa" w:w="55"/>
              <w:right w:type="dxa" w:w="90"/>
            </w:tcMar>
          </w:tcPr>
          <w:p>
            <w:pPr>
              <w:spacing w:after="0" w:line="248"/>
            </w:pPr>
            <w:r>
              <w:rPr>
                <w:color w:val="1B1A18"/>
                <w:sz w:val="17"/>
                <w:szCs w:val="17"/>
              </w:rPr>
              <w:t xml:space="preserve">Context</w:t>
            </w:r>
          </w:p>
        </w:tc>
        <w:tc>
          <w:tcPr>
            <w:tcW w:type="dxa" w:w="4780"/>
            <w:shd w:fill="FFFFFF" w:color="auto" w:val="clear"/>
            <w:tcMar>
              <w:top w:type="dxa" w:w="55"/>
              <w:left w:type="dxa" w:w="90"/>
              <w:bottom w:type="dxa" w:w="55"/>
              <w:right w:type="dxa" w:w="90"/>
            </w:tcMar>
          </w:tcPr>
          <w:p>
            <w:pPr>
              <w:spacing w:after="0" w:line="248"/>
            </w:pPr>
            <w:r>
              <w:rPr>
                <w:color w:val="1B1A18"/>
                <w:sz w:val="17"/>
                <w:szCs w:val="17"/>
              </w:rPr>
              <w:t xml:space="preserve">Disclosure, suitability, materiality — that information is understood in the context that binds it</w:t>
            </w:r>
          </w:p>
        </w:tc>
        <w:tc>
          <w:tcPr>
            <w:tcW w:type="dxa" w:w="3200"/>
            <w:shd w:fill="FFFFFF" w:color="auto" w:val="clear"/>
            <w:tcMar>
              <w:top w:type="dxa" w:w="55"/>
              <w:left w:type="dxa" w:w="90"/>
              <w:bottom w:type="dxa" w:w="55"/>
              <w:right w:type="dxa" w:w="90"/>
            </w:tcMar>
          </w:tcPr>
          <w:p>
            <w:pPr>
              <w:spacing w:after="0" w:line="248"/>
            </w:pPr>
            <w:r>
              <w:rPr>
                <w:color w:val="1B1A18"/>
                <w:sz w:val="17"/>
                <w:szCs w:val="17"/>
              </w:rPr>
              <w:t xml:space="preserve">Ask the receiving side what the work means and why it is constrained; a phone call = not in custody</w:t>
            </w:r>
          </w:p>
        </w:tc>
      </w:tr>
      <w:tr>
        <w:tc>
          <w:tcPr>
            <w:tcW w:type="dxa" w:w="2100"/>
            <w:shd w:fill="F4F2EE" w:color="auto" w:val="clear"/>
            <w:tcMar>
              <w:top w:type="dxa" w:w="55"/>
              <w:left w:type="dxa" w:w="90"/>
              <w:bottom w:type="dxa" w:w="55"/>
              <w:right w:type="dxa" w:w="90"/>
            </w:tcMar>
          </w:tcPr>
          <w:p>
            <w:pPr>
              <w:spacing w:after="0" w:line="248"/>
            </w:pPr>
            <w:r>
              <w:rPr>
                <w:color w:val="1B1A18"/>
                <w:sz w:val="17"/>
                <w:szCs w:val="17"/>
              </w:rPr>
              <w:t xml:space="preserve">Authority</w:t>
            </w:r>
          </w:p>
        </w:tc>
        <w:tc>
          <w:tcPr>
            <w:tcW w:type="dxa" w:w="4780"/>
            <w:shd w:fill="F4F2EE" w:color="auto" w:val="clear"/>
            <w:tcMar>
              <w:top w:type="dxa" w:w="55"/>
              <w:left w:type="dxa" w:w="90"/>
              <w:bottom w:type="dxa" w:w="55"/>
              <w:right w:type="dxa" w:w="90"/>
            </w:tcMar>
          </w:tcPr>
          <w:p>
            <w:pPr>
              <w:spacing w:after="0" w:line="248"/>
            </w:pPr>
            <w:r>
              <w:rPr>
                <w:color w:val="1B1A18"/>
                <w:sz w:val="17"/>
                <w:szCs w:val="17"/>
              </w:rPr>
              <w:t xml:space="preserve">Mandate, delegation, agency, authorised-person regimes — who may decide, within what limits</w:t>
            </w:r>
          </w:p>
        </w:tc>
        <w:tc>
          <w:tcPr>
            <w:tcW w:type="dxa" w:w="3200"/>
            <w:shd w:fill="F4F2EE" w:color="auto" w:val="clear"/>
            <w:tcMar>
              <w:top w:type="dxa" w:w="55"/>
              <w:left w:type="dxa" w:w="90"/>
              <w:bottom w:type="dxa" w:w="55"/>
              <w:right w:type="dxa" w:w="90"/>
            </w:tcMar>
          </w:tcPr>
          <w:p>
            <w:pPr>
              <w:spacing w:after="0" w:line="248"/>
            </w:pPr>
            <w:r>
              <w:rPr>
                <w:color w:val="1B1A18"/>
                <w:sz w:val="17"/>
                <w:szCs w:val="17"/>
              </w:rPr>
              <w:t xml:space="preserve">‘Who may decide this, under which delegation?’ answered by query, not by investigation</w:t>
            </w:r>
          </w:p>
        </w:tc>
      </w:tr>
      <w:tr>
        <w:tc>
          <w:tcPr>
            <w:tcW w:type="dxa" w:w="2100"/>
            <w:shd w:fill="FFFFFF" w:color="auto" w:val="clear"/>
            <w:tcMar>
              <w:top w:type="dxa" w:w="55"/>
              <w:left w:type="dxa" w:w="90"/>
              <w:bottom w:type="dxa" w:w="55"/>
              <w:right w:type="dxa" w:w="90"/>
            </w:tcMar>
          </w:tcPr>
          <w:p>
            <w:pPr>
              <w:spacing w:after="0" w:line="248"/>
            </w:pPr>
            <w:r>
              <w:rPr>
                <w:color w:val="1B1A18"/>
                <w:sz w:val="17"/>
                <w:szCs w:val="17"/>
              </w:rPr>
              <w:t xml:space="preserve">Accountability</w:t>
            </w:r>
          </w:p>
        </w:tc>
        <w:tc>
          <w:tcPr>
            <w:tcW w:type="dxa" w:w="4780"/>
            <w:shd w:fill="FFFFFF" w:color="auto" w:val="clear"/>
            <w:tcMar>
              <w:top w:type="dxa" w:w="55"/>
              <w:left w:type="dxa" w:w="90"/>
              <w:bottom w:type="dxa" w:w="55"/>
              <w:right w:type="dxa" w:w="90"/>
            </w:tcMar>
          </w:tcPr>
          <w:p>
            <w:pPr>
              <w:spacing w:after="0" w:line="248"/>
            </w:pPr>
            <w:r>
              <w:rPr>
                <w:color w:val="1B1A18"/>
                <w:sz w:val="17"/>
                <w:szCs w:val="17"/>
              </w:rPr>
              <w:t xml:space="preserve">Record-keeping, auditability, attribution, individual-accountability regimes</w:t>
            </w:r>
          </w:p>
        </w:tc>
        <w:tc>
          <w:tcPr>
            <w:tcW w:type="dxa" w:w="3200"/>
            <w:shd w:fill="FFFFFF" w:color="auto" w:val="clear"/>
            <w:tcMar>
              <w:top w:type="dxa" w:w="55"/>
              <w:left w:type="dxa" w:w="90"/>
              <w:bottom w:type="dxa" w:w="55"/>
              <w:right w:type="dxa" w:w="90"/>
            </w:tcMar>
          </w:tcPr>
          <w:p>
            <w:pPr>
              <w:spacing w:after="0" w:line="248"/>
            </w:pPr>
            <w:r>
              <w:rPr>
                <w:color w:val="1B1A18"/>
                <w:sz w:val="17"/>
                <w:szCs w:val="17"/>
              </w:rPr>
              <w:t xml:space="preserve">Full attribution of one transaction — incl. the rule version in force — produced on demand</w:t>
            </w:r>
          </w:p>
        </w:tc>
      </w:tr>
      <w:tr>
        <w:tc>
          <w:tcPr>
            <w:tcW w:type="dxa" w:w="2100"/>
            <w:shd w:fill="F4F2EE" w:color="auto" w:val="clear"/>
            <w:tcMar>
              <w:top w:type="dxa" w:w="55"/>
              <w:left w:type="dxa" w:w="90"/>
              <w:bottom w:type="dxa" w:w="55"/>
              <w:right w:type="dxa" w:w="90"/>
            </w:tcMar>
          </w:tcPr>
          <w:p>
            <w:pPr>
              <w:spacing w:after="0" w:line="248"/>
            </w:pPr>
            <w:r>
              <w:rPr>
                <w:color w:val="1B1A18"/>
                <w:sz w:val="17"/>
                <w:szCs w:val="17"/>
              </w:rPr>
              <w:t xml:space="preserve">Coordination</w:t>
            </w:r>
          </w:p>
        </w:tc>
        <w:tc>
          <w:tcPr>
            <w:tcW w:type="dxa" w:w="4780"/>
            <w:shd w:fill="F4F2EE" w:color="auto" w:val="clear"/>
            <w:tcMar>
              <w:top w:type="dxa" w:w="55"/>
              <w:left w:type="dxa" w:w="90"/>
              <w:bottom w:type="dxa" w:w="55"/>
              <w:right w:type="dxa" w:w="90"/>
            </w:tcMar>
          </w:tcPr>
          <w:p>
            <w:pPr>
              <w:spacing w:after="0" w:line="248"/>
            </w:pPr>
            <w:r>
              <w:rPr>
                <w:color w:val="1B1A18"/>
                <w:sz w:val="17"/>
                <w:szCs w:val="17"/>
              </w:rPr>
              <w:t xml:space="preserve">Adequate systems and controls; governance and operational-resilience arrangements</w:t>
            </w:r>
          </w:p>
        </w:tc>
        <w:tc>
          <w:tcPr>
            <w:tcW w:type="dxa" w:w="3200"/>
            <w:shd w:fill="F4F2EE" w:color="auto" w:val="clear"/>
            <w:tcMar>
              <w:top w:type="dxa" w:w="55"/>
              <w:left w:type="dxa" w:w="90"/>
              <w:bottom w:type="dxa" w:w="55"/>
              <w:right w:type="dxa" w:w="90"/>
            </w:tcMar>
          </w:tcPr>
          <w:p>
            <w:pPr>
              <w:spacing w:after="0" w:line="248"/>
            </w:pPr>
            <w:r>
              <w:rPr>
                <w:color w:val="1B1A18"/>
                <w:sz w:val="17"/>
                <w:szCs w:val="17"/>
              </w:rPr>
              <w:t xml:space="preserve">Alignment secured by a shared invariant at the seam, not by manual reconciliation or goodwill</w:t>
            </w:r>
          </w:p>
        </w:tc>
      </w:tr>
      <w:tr>
        <w:tc>
          <w:tcPr>
            <w:tcW w:type="dxa" w:w="2100"/>
            <w:shd w:fill="FFFFFF" w:color="auto" w:val="clear"/>
            <w:tcMar>
              <w:top w:type="dxa" w:w="55"/>
              <w:left w:type="dxa" w:w="90"/>
              <w:bottom w:type="dxa" w:w="55"/>
              <w:right w:type="dxa" w:w="90"/>
            </w:tcMar>
          </w:tcPr>
          <w:p>
            <w:pPr>
              <w:spacing w:after="0" w:line="248"/>
            </w:pPr>
            <w:r>
              <w:rPr>
                <w:color w:val="1B1A18"/>
                <w:sz w:val="17"/>
                <w:szCs w:val="17"/>
              </w:rPr>
              <w:t xml:space="preserve">Execution coherence</w:t>
            </w:r>
          </w:p>
        </w:tc>
        <w:tc>
          <w:tcPr>
            <w:tcW w:type="dxa" w:w="4780"/>
            <w:shd w:fill="FFFFFF" w:color="auto" w:val="clear"/>
            <w:tcMar>
              <w:top w:type="dxa" w:w="55"/>
              <w:left w:type="dxa" w:w="90"/>
              <w:bottom w:type="dxa" w:w="55"/>
              <w:right w:type="dxa" w:w="90"/>
            </w:tcMar>
          </w:tcPr>
          <w:p>
            <w:pPr>
              <w:spacing w:after="0" w:line="248"/>
            </w:pPr>
            <w:r>
              <w:rPr>
                <w:color w:val="1B1A18"/>
                <w:sz w:val="17"/>
                <w:szCs w:val="17"/>
              </w:rPr>
              <w:t xml:space="preserve">Consistent enforcement of mandatory rules — sanctions, AML thresholds, residency, prohibited conduct</w:t>
            </w:r>
          </w:p>
        </w:tc>
        <w:tc>
          <w:tcPr>
            <w:tcW w:type="dxa" w:w="3200"/>
            <w:shd w:fill="FFFFFF" w:color="auto" w:val="clear"/>
            <w:tcMar>
              <w:top w:type="dxa" w:w="55"/>
              <w:left w:type="dxa" w:w="90"/>
              <w:bottom w:type="dxa" w:w="55"/>
              <w:right w:type="dxa" w:w="90"/>
            </w:tcMar>
          </w:tcPr>
          <w:p>
            <w:pPr>
              <w:spacing w:after="0" w:line="248"/>
            </w:pPr>
            <w:r>
              <w:rPr>
                <w:color w:val="1B1A18"/>
                <w:sz w:val="17"/>
                <w:szCs w:val="17"/>
              </w:rPr>
              <w:t xml:space="preserve">The non-negotiable is enforced identically at every entry point; ‘it depends which door’ fails</w:t>
            </w:r>
          </w:p>
        </w:tc>
      </w:tr>
      <w:tr>
        <w:tc>
          <w:tcPr>
            <w:tcW w:type="dxa" w:w="2100"/>
            <w:shd w:fill="F4F2EE" w:color="auto" w:val="clear"/>
            <w:tcMar>
              <w:top w:type="dxa" w:w="55"/>
              <w:left w:type="dxa" w:w="90"/>
              <w:bottom w:type="dxa" w:w="55"/>
              <w:right w:type="dxa" w:w="90"/>
            </w:tcMar>
          </w:tcPr>
          <w:p>
            <w:pPr>
              <w:spacing w:after="0" w:line="248"/>
            </w:pPr>
            <w:r>
              <w:rPr>
                <w:color w:val="1B1A18"/>
                <w:sz w:val="17"/>
                <w:szCs w:val="17"/>
              </w:rPr>
              <w:t xml:space="preserve">Institutional memory</w:t>
            </w:r>
          </w:p>
        </w:tc>
        <w:tc>
          <w:tcPr>
            <w:tcW w:type="dxa" w:w="4780"/>
            <w:shd w:fill="F4F2EE" w:color="auto" w:val="clear"/>
            <w:tcMar>
              <w:top w:type="dxa" w:w="55"/>
              <w:left w:type="dxa" w:w="90"/>
              <w:bottom w:type="dxa" w:w="55"/>
              <w:right w:type="dxa" w:w="90"/>
            </w:tcMar>
          </w:tcPr>
          <w:p>
            <w:pPr>
              <w:spacing w:after="0" w:line="248"/>
            </w:pPr>
            <w:r>
              <w:rPr>
                <w:color w:val="1B1A18"/>
                <w:sz w:val="17"/>
                <w:szCs w:val="17"/>
              </w:rPr>
              <w:t xml:space="preserve">Record retention, evidential integrity, data governance and tamper-evidence</w:t>
            </w:r>
          </w:p>
        </w:tc>
        <w:tc>
          <w:tcPr>
            <w:tcW w:type="dxa" w:w="3200"/>
            <w:shd w:fill="F4F2EE" w:color="auto" w:val="clear"/>
            <w:tcMar>
              <w:top w:type="dxa" w:w="55"/>
              <w:left w:type="dxa" w:w="90"/>
              <w:bottom w:type="dxa" w:w="55"/>
              <w:right w:type="dxa" w:w="90"/>
            </w:tcMar>
          </w:tcPr>
          <w:p>
            <w:pPr>
              <w:spacing w:after="0" w:line="248"/>
            </w:pPr>
            <w:r>
              <w:rPr>
                <w:color w:val="1B1A18"/>
                <w:sz w:val="17"/>
                <w:szCs w:val="17"/>
              </w:rPr>
              <w:t xml:space="preserve">A record can be independently trusted — gated write, known provenance — not vouched for by the keeper alone</w:t>
            </w:r>
          </w:p>
        </w:tc>
      </w:tr>
    </w:tbl>
    <w:p>
      <w:pPr>
        <w:spacing w:after="110" w:line="276"/>
      </w:pPr>
      <w:r>
        <w:rPr>
          <w:i/>
          <w:iCs/>
          <w:color w:val="6E6A62"/>
          <w:sz w:val="20"/>
          <w:szCs w:val="20"/>
        </w:rPr>
        <w:t xml:space="preserve">The pattern to carry into Parts B–D: each property becomes a requirement you can write into a standard and a test you can run at examination — and each has a characteristic failure you can recognise in the field.</w:t>
      </w:r>
    </w:p>
    <w:p>
      <w:r>
        <w:br w:type="page"/>
      </w:r>
    </w:p>
    <w:p>
      <w:pPr>
        <w:pStyle w:val="Heading1"/>
        <w:spacing w:after="130" w:before="300"/>
      </w:pPr>
      <w:r>
        <w:rPr>
          <w:b/>
          <w:bCs/>
          <w:color w:val="33302B"/>
          <w:sz w:val="29"/>
          <w:szCs w:val="29"/>
        </w:rPr>
        <w:t xml:space="preserve">Part B — Casebook of enforcement records</w:t>
      </w:r>
    </w:p>
    <w:p>
      <w:pPr>
        <w:spacing w:after="110" w:line="276"/>
      </w:pPr>
      <w:r>
        <w:rPr>
          <w:i/>
          <w:iCs/>
          <w:color w:val="6E6A62"/>
          <w:sz w:val="20"/>
          <w:szCs w:val="20"/>
        </w:rPr>
        <w:t xml:space="preserve">Each record is sourced to a court, regulator, official investigation, or the organisation’s own admission. Summaries are simplified for teaching; consult the primary sources before relying on any point.</w:t>
      </w:r>
    </w:p>
    <w:p>
      <w:pPr>
        <w:pStyle w:val="Heading2"/>
        <w:spacing w:after="90" w:before="220"/>
      </w:pPr>
      <w:r>
        <w:rPr>
          <w:b/>
          <w:bCs/>
          <w:color w:val="1B1A18"/>
          <w:sz w:val="23"/>
          <w:szCs w:val="23"/>
        </w:rPr>
        <w:t xml:space="preserve">Case 1 — Air Canada / Moffatt — an institution answers for its agent</w:t>
      </w:r>
    </w:p>
    <w:p>
      <w:pPr>
        <w:spacing w:after="120" w:before="30" w:line="264"/>
      </w:pPr>
      <w:r>
        <w:rPr>
          <w:b/>
          <w:bCs/>
          <w:color w:val="57534A"/>
          <w:sz w:val="17"/>
          <w:szCs w:val="17"/>
        </w:rPr>
        <w:t xml:space="preserve">Citation.  </w:t>
      </w:r>
      <w:r>
        <w:rPr>
          <w:i/>
          <w:iCs/>
          <w:color w:val="6E6A62"/>
          <w:sz w:val="17"/>
          <w:szCs w:val="17"/>
        </w:rPr>
        <w:t xml:space="preserve">Moffatt v. Air Canada, 2024 BCCRT 149 (Civil Resolution Tribunal of British Columbia, 14 Feb 2024).</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The airline’s website chatbot stated a bereavement-fare policy that did not exist. The customer relied on it; the airline refused the refund and argued the chatbot was, in effect, a separate entity responsible for its own statements.</w:t>
      </w:r>
    </w:p>
    <w:p>
      <w:pPr>
        <w:pStyle w:val="Heading3"/>
        <w:spacing w:after="70" w:before="160"/>
      </w:pPr>
      <w:r>
        <w:rPr>
          <w:b/>
          <w:bCs/>
          <w:color w:val="57534A"/>
          <w:sz w:val="20"/>
          <w:szCs w:val="20"/>
        </w:rPr>
        <w:t xml:space="preserve">Outcome / holding</w:t>
      </w:r>
    </w:p>
    <w:p>
      <w:pPr>
        <w:spacing w:after="110" w:line="276"/>
      </w:pPr>
      <w:r>
        <w:rPr>
          <w:color w:val="1B1A18"/>
          <w:sz w:val="20"/>
          <w:szCs w:val="20"/>
        </w:rPr>
        <w:t xml:space="preserve">The tribunal rejected the ‘separate entity’ argument (described at para 27 as a remarkable submission) and held the airline liable for its chatbot’s misrepresentation; modest damages were awarded.</w:t>
      </w:r>
    </w:p>
    <w:p>
      <w:pPr>
        <w:pStyle w:val="Heading3"/>
        <w:spacing w:after="70" w:before="160"/>
      </w:pPr>
      <w:r>
        <w:rPr>
          <w:b/>
          <w:bCs/>
          <w:color w:val="57534A"/>
          <w:sz w:val="20"/>
          <w:szCs w:val="20"/>
        </w:rPr>
        <w:t xml:space="preserve">The property &amp; standard</w:t>
      </w:r>
    </w:p>
    <w:p>
      <w:pPr>
        <w:spacing w:after="110" w:line="276"/>
      </w:pPr>
      <w:r>
        <w:rPr>
          <w:color w:val="1B1A18"/>
          <w:sz w:val="20"/>
          <w:szCs w:val="20"/>
        </w:rPr>
        <w:t xml:space="preserve">Accountability. The institution answers for its agent’s conduct; ‘the AI said it’ is not a defence.</w:t>
      </w:r>
    </w:p>
    <w:p>
      <w:pPr>
        <w:pStyle w:val="Heading3"/>
        <w:spacing w:after="70" w:before="160"/>
      </w:pPr>
      <w:r>
        <w:rPr>
          <w:b/>
          <w:bCs/>
          <w:color w:val="57534A"/>
          <w:sz w:val="20"/>
          <w:szCs w:val="20"/>
        </w:rPr>
        <w:t xml:space="preserve">Supervisory takeaway</w:t>
      </w:r>
    </w:p>
    <w:p>
      <w:pPr>
        <w:spacing w:after="110" w:line="276"/>
      </w:pPr>
      <w:r>
        <w:rPr>
          <w:color w:val="1B1A18"/>
          <w:sz w:val="20"/>
          <w:szCs w:val="20"/>
        </w:rPr>
        <w:t xml:space="preserve">Conduct and consumer-protection standards attach to the institution regardless of whether a human or a model performed the act. Supervisors should treat agent output as the entity’s output.</w:t>
      </w:r>
    </w:p>
    <w:p>
      <w:r>
        <w:br w:type="page"/>
      </w:r>
    </w:p>
    <w:p>
      <w:pPr>
        <w:pStyle w:val="Heading2"/>
        <w:spacing w:after="90" w:before="220"/>
      </w:pPr>
      <w:r>
        <w:rPr>
          <w:b/>
          <w:bCs/>
          <w:color w:val="1B1A18"/>
          <w:sz w:val="23"/>
          <w:szCs w:val="23"/>
        </w:rPr>
        <w:t xml:space="preserve">Case 2 — AUSTRAC v Commonwealth Bank — a modal obligation, categorically breached</w:t>
      </w:r>
    </w:p>
    <w:p>
      <w:pPr>
        <w:spacing w:after="120" w:before="30" w:line="264"/>
      </w:pPr>
      <w:r>
        <w:rPr>
          <w:b/>
          <w:bCs/>
          <w:color w:val="57534A"/>
          <w:sz w:val="17"/>
          <w:szCs w:val="17"/>
        </w:rPr>
        <w:t xml:space="preserve">Citation.  </w:t>
      </w:r>
      <w:r>
        <w:rPr>
          <w:i/>
          <w:iCs/>
          <w:color w:val="6E6A62"/>
          <w:sz w:val="17"/>
          <w:szCs w:val="17"/>
        </w:rPr>
        <w:t xml:space="preserve">AUSTRAC civil proceedings (Federal Court of Australia, filed 3 Aug 2017); agreed civil penalty of A$700 million approved 4 June 2018; APRA Prudential Inquiry (2018).</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A coding error meant 53,506 threshold-transaction reports (covering ~A$625 million) were not filed on time over nearly three years.</w:t>
      </w:r>
    </w:p>
    <w:p>
      <w:pPr>
        <w:pStyle w:val="Heading3"/>
        <w:spacing w:after="70" w:before="160"/>
      </w:pPr>
      <w:r>
        <w:rPr>
          <w:b/>
          <w:bCs/>
          <w:color w:val="57534A"/>
          <w:sz w:val="20"/>
          <w:szCs w:val="20"/>
        </w:rPr>
        <w:t xml:space="preserve">Outcome / holding</w:t>
      </w:r>
    </w:p>
    <w:p>
      <w:pPr>
        <w:spacing w:after="110" w:line="276"/>
      </w:pPr>
      <w:r>
        <w:rPr>
          <w:color w:val="1B1A18"/>
          <w:sz w:val="20"/>
          <w:szCs w:val="20"/>
        </w:rPr>
        <w:t xml:space="preserve">The bank admitted contraventions arising from a single systems-related error and agreed a A$700 million civil penalty; the prudential regulator imposed a capital overlay.</w:t>
      </w:r>
    </w:p>
    <w:p>
      <w:pPr>
        <w:pStyle w:val="Heading3"/>
        <w:spacing w:after="70" w:before="160"/>
      </w:pPr>
      <w:r>
        <w:rPr>
          <w:b/>
          <w:bCs/>
          <w:color w:val="57534A"/>
          <w:sz w:val="20"/>
          <w:szCs w:val="20"/>
        </w:rPr>
        <w:t xml:space="preserve">The property &amp; standard</w:t>
      </w:r>
    </w:p>
    <w:p>
      <w:pPr>
        <w:spacing w:after="110" w:line="276"/>
      </w:pPr>
      <w:r>
        <w:rPr>
          <w:color w:val="1B1A18"/>
          <w:sz w:val="20"/>
          <w:szCs w:val="20"/>
        </w:rPr>
        <w:t xml:space="preserve">Execution coherence and accountability. A modal ‘must report’ obligation is not met 99.9% of the time — one systems error is a violation with a measured frequency.</w:t>
      </w:r>
    </w:p>
    <w:p>
      <w:pPr>
        <w:pStyle w:val="Heading3"/>
        <w:spacing w:after="70" w:before="160"/>
      </w:pPr>
      <w:r>
        <w:rPr>
          <w:b/>
          <w:bCs/>
          <w:color w:val="57534A"/>
          <w:sz w:val="20"/>
          <w:szCs w:val="20"/>
        </w:rPr>
        <w:t xml:space="preserve">Supervisory takeaway</w:t>
      </w:r>
    </w:p>
    <w:p>
      <w:pPr>
        <w:spacing w:after="110" w:line="276"/>
      </w:pPr>
      <w:r>
        <w:rPr>
          <w:color w:val="1B1A18"/>
          <w:sz w:val="20"/>
          <w:szCs w:val="20"/>
        </w:rPr>
        <w:t xml:space="preserve">Draft reporting standards so the obligation is enforced structurally and evidenced by construction; a process that can silently fail is not adequate systems and controls.</w:t>
      </w:r>
    </w:p>
    <w:p>
      <w:r>
        <w:br w:type="page"/>
      </w:r>
    </w:p>
    <w:p>
      <w:pPr>
        <w:pStyle w:val="Heading2"/>
        <w:spacing w:after="90" w:before="220"/>
      </w:pPr>
      <w:r>
        <w:rPr>
          <w:b/>
          <w:bCs/>
          <w:color w:val="1B1A18"/>
          <w:sz w:val="23"/>
          <w:szCs w:val="23"/>
        </w:rPr>
        <w:t xml:space="preserve">Case 3 — Citibank / Revlon — a control that depended on reading a screen</w:t>
      </w:r>
    </w:p>
    <w:p>
      <w:pPr>
        <w:spacing w:after="120" w:before="30" w:line="264"/>
      </w:pPr>
      <w:r>
        <w:rPr>
          <w:b/>
          <w:bCs/>
          <w:color w:val="57534A"/>
          <w:sz w:val="17"/>
          <w:szCs w:val="17"/>
        </w:rPr>
        <w:t xml:space="preserve">Citation.  </w:t>
      </w:r>
      <w:r>
        <w:rPr>
          <w:i/>
          <w:iCs/>
          <w:color w:val="6E6A62"/>
          <w:sz w:val="17"/>
          <w:szCs w:val="17"/>
        </w:rPr>
        <w:t xml:space="preserve">In re Citibank August 11, 2020 Wire Transfers, 520 F. Supp. 3d 390 (S.D.N.Y. 2021), rev’d 49 F.4th 42 (2d Cir. 2022); OCC civil money penalty (Oct 2020).</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Intending an $7.8 million interest payment, the bank wired ~$893 million of its own funds; the error turned on a confusing interface and a control requiring staff to interpret which boxes to check to suppress a payment.</w:t>
      </w:r>
    </w:p>
    <w:p>
      <w:pPr>
        <w:pStyle w:val="Heading3"/>
        <w:spacing w:after="70" w:before="160"/>
      </w:pPr>
      <w:r>
        <w:rPr>
          <w:b/>
          <w:bCs/>
          <w:color w:val="57534A"/>
          <w:sz w:val="20"/>
          <w:szCs w:val="20"/>
        </w:rPr>
        <w:t xml:space="preserve">Outcome / holding</w:t>
      </w:r>
    </w:p>
    <w:p>
      <w:pPr>
        <w:spacing w:after="110" w:line="276"/>
      </w:pPr>
      <w:r>
        <w:rPr>
          <w:color w:val="1B1A18"/>
          <w:sz w:val="20"/>
          <w:szCs w:val="20"/>
        </w:rPr>
        <w:t xml:space="preserve">Litigation over recovery followed (ultimately the funds question resolved on other grounds); separately, the regulator imposed a $400 million penalty for enterprise-wide risk-management and internal-control deficiencies.</w:t>
      </w:r>
    </w:p>
    <w:p>
      <w:pPr>
        <w:pStyle w:val="Heading3"/>
        <w:spacing w:after="70" w:before="160"/>
      </w:pPr>
      <w:r>
        <w:rPr>
          <w:b/>
          <w:bCs/>
          <w:color w:val="57534A"/>
          <w:sz w:val="20"/>
          <w:szCs w:val="20"/>
        </w:rPr>
        <w:t xml:space="preserve">The property &amp; standard</w:t>
      </w:r>
    </w:p>
    <w:p>
      <w:pPr>
        <w:spacing w:after="110" w:line="276"/>
      </w:pPr>
      <w:r>
        <w:rPr>
          <w:color w:val="1B1A18"/>
          <w:sz w:val="20"/>
          <w:szCs w:val="20"/>
        </w:rPr>
        <w:t xml:space="preserve">Context and execution coherence. Meaning and control did not travel with the action to the boundary; the ‘control’ was correct human interpretation of a screen.</w:t>
      </w:r>
    </w:p>
    <w:p>
      <w:pPr>
        <w:pStyle w:val="Heading3"/>
        <w:spacing w:after="70" w:before="160"/>
      </w:pPr>
      <w:r>
        <w:rPr>
          <w:b/>
          <w:bCs/>
          <w:color w:val="57534A"/>
          <w:sz w:val="20"/>
          <w:szCs w:val="20"/>
        </w:rPr>
        <w:t xml:space="preserve">Supervisory takeaway</w:t>
      </w:r>
    </w:p>
    <w:p>
      <w:pPr>
        <w:spacing w:after="110" w:line="276"/>
      </w:pPr>
      <w:r>
        <w:rPr>
          <w:color w:val="1B1A18"/>
          <w:sz w:val="20"/>
          <w:szCs w:val="20"/>
        </w:rPr>
        <w:t xml:space="preserve">Controls that depend on a person interpreting an interface at the moment of action hold only ‘usually’. Require positional enforcement at the point the transaction passes.</w:t>
      </w:r>
    </w:p>
    <w:p>
      <w:r>
        <w:br w:type="page"/>
      </w:r>
    </w:p>
    <w:p>
      <w:pPr>
        <w:pStyle w:val="Heading2"/>
        <w:spacing w:after="90" w:before="220"/>
      </w:pPr>
      <w:r>
        <w:rPr>
          <w:b/>
          <w:bCs/>
          <w:color w:val="1B1A18"/>
          <w:sz w:val="23"/>
          <w:szCs w:val="23"/>
        </w:rPr>
        <w:t xml:space="preserve">Case 4 — Post Office / Horizon — unaccountable system evidence at volume</w:t>
      </w:r>
    </w:p>
    <w:p>
      <w:pPr>
        <w:spacing w:after="120" w:before="30" w:line="264"/>
      </w:pPr>
      <w:r>
        <w:rPr>
          <w:b/>
          <w:bCs/>
          <w:color w:val="57534A"/>
          <w:sz w:val="17"/>
          <w:szCs w:val="17"/>
        </w:rPr>
        <w:t xml:space="preserve">Citation.  </w:t>
      </w:r>
      <w:r>
        <w:rPr>
          <w:i/>
          <w:iCs/>
          <w:color w:val="6E6A62"/>
          <w:sz w:val="17"/>
          <w:szCs w:val="17"/>
        </w:rPr>
        <w:t xml:space="preserve">Hamilton &amp; Others v Post Office Ltd [2021] EWCA Crim 577; Post Office (Horizon System) Offences Act 2024; Post Office Horizon IT Inquiry (Sir Wyn Williams, first volume 2025); DBT redress data (2026).</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For over a decade an institution treated its accounting system’s figures as ground truth and prosecuted subpostmasters for shortfalls the system generated; more than 900 were prosecuted and 236 imprisoned.</w:t>
      </w:r>
    </w:p>
    <w:p>
      <w:pPr>
        <w:pStyle w:val="Heading3"/>
        <w:spacing w:after="70" w:before="160"/>
      </w:pPr>
      <w:r>
        <w:rPr>
          <w:b/>
          <w:bCs/>
          <w:color w:val="57534A"/>
          <w:sz w:val="20"/>
          <w:szCs w:val="20"/>
        </w:rPr>
        <w:t xml:space="preserve">Outcome / holding</w:t>
      </w:r>
    </w:p>
    <w:p>
      <w:pPr>
        <w:spacing w:after="110" w:line="276"/>
      </w:pPr>
      <w:r>
        <w:rPr>
          <w:color w:val="1B1A18"/>
          <w:sz w:val="20"/>
          <w:szCs w:val="20"/>
        </w:rPr>
        <w:t xml:space="preserve">Convictions were quashed — 39 by the Court of Appeal in 2021, then wholesale by statute in 2024; redress of ~£1,628 million has been paid to 12,900+ claimants. It is regarded as one of the gravest miscarriages of justice in British history.</w:t>
      </w:r>
    </w:p>
    <w:p>
      <w:pPr>
        <w:pStyle w:val="Heading3"/>
        <w:spacing w:after="70" w:before="160"/>
      </w:pPr>
      <w:r>
        <w:rPr>
          <w:b/>
          <w:bCs/>
          <w:color w:val="57534A"/>
          <w:sz w:val="20"/>
          <w:szCs w:val="20"/>
        </w:rPr>
        <w:t xml:space="preserve">The property &amp; standard</w:t>
      </w:r>
    </w:p>
    <w:p>
      <w:pPr>
        <w:spacing w:after="110" w:line="276"/>
      </w:pPr>
      <w:r>
        <w:rPr>
          <w:color w:val="1B1A18"/>
          <w:sz w:val="20"/>
          <w:szCs w:val="20"/>
        </w:rPr>
        <w:t xml:space="preserve">Accountability, execution coherence, institutional memory. System output was treated as unimpeachable evidence at scale, with no independently trustworthy record behind it.</w:t>
      </w:r>
    </w:p>
    <w:p>
      <w:pPr>
        <w:pStyle w:val="Heading3"/>
        <w:spacing w:after="70" w:before="160"/>
      </w:pPr>
      <w:r>
        <w:rPr>
          <w:b/>
          <w:bCs/>
          <w:color w:val="57534A"/>
          <w:sz w:val="20"/>
          <w:szCs w:val="20"/>
        </w:rPr>
        <w:t xml:space="preserve">Supervisory takeaway</w:t>
      </w:r>
    </w:p>
    <w:p>
      <w:pPr>
        <w:spacing w:after="110" w:line="276"/>
      </w:pPr>
      <w:r>
        <w:rPr>
          <w:color w:val="1B1A18"/>
          <w:sz w:val="20"/>
          <w:szCs w:val="20"/>
        </w:rPr>
        <w:t xml:space="preserve">The gravest custody failure of the era required no AI. Do not let system output carry legal or evidential weight without a test of independent trustworthiness — the danger multiplies with machine-scale decisions.</w:t>
      </w:r>
    </w:p>
    <w:p>
      <w:r>
        <w:br w:type="page"/>
      </w:r>
    </w:p>
    <w:p>
      <w:pPr>
        <w:pStyle w:val="Heading2"/>
        <w:spacing w:after="90" w:before="220"/>
      </w:pPr>
      <w:r>
        <w:rPr>
          <w:b/>
          <w:bCs/>
          <w:color w:val="1B1A18"/>
          <w:sz w:val="23"/>
          <w:szCs w:val="23"/>
        </w:rPr>
        <w:t xml:space="preserve">Case 5 — Schrems II — a cross-border dependency invalidated overnight</w:t>
      </w:r>
    </w:p>
    <w:p>
      <w:pPr>
        <w:spacing w:after="120" w:before="30" w:line="264"/>
      </w:pPr>
      <w:r>
        <w:rPr>
          <w:b/>
          <w:bCs/>
          <w:color w:val="57534A"/>
          <w:sz w:val="17"/>
          <w:szCs w:val="17"/>
        </w:rPr>
        <w:t xml:space="preserve">Citation.  </w:t>
      </w:r>
      <w:r>
        <w:rPr>
          <w:i/>
          <w:iCs/>
          <w:color w:val="6E6A62"/>
          <w:sz w:val="17"/>
          <w:szCs w:val="17"/>
        </w:rPr>
        <w:t xml:space="preserve">Court of Justice of the European Union, Case C-311/18, Data Protection Commissioner v Facebook Ireland and Schrems (judgment 16 July 2020).</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The CJEU invalidated the principal framework for transferring personal data from the EU to the US; roughly 5,300 organisations relied on it. A successor framework (2023) was promptly challenged.</w:t>
      </w:r>
    </w:p>
    <w:p>
      <w:pPr>
        <w:pStyle w:val="Heading3"/>
        <w:spacing w:after="70" w:before="160"/>
      </w:pPr>
      <w:r>
        <w:rPr>
          <w:b/>
          <w:bCs/>
          <w:color w:val="57534A"/>
          <w:sz w:val="20"/>
          <w:szCs w:val="20"/>
        </w:rPr>
        <w:t xml:space="preserve">Outcome / holding</w:t>
      </w:r>
    </w:p>
    <w:p>
      <w:pPr>
        <w:spacing w:after="110" w:line="276"/>
      </w:pPr>
      <w:r>
        <w:rPr>
          <w:color w:val="1B1A18"/>
          <w:sz w:val="20"/>
          <w:szCs w:val="20"/>
        </w:rPr>
        <w:t xml:space="preserve">The transfer framework was struck down; transfers had to rest on other mechanisms with additional safeguards, assessed case by case.</w:t>
      </w:r>
    </w:p>
    <w:p>
      <w:pPr>
        <w:pStyle w:val="Heading3"/>
        <w:spacing w:after="70" w:before="160"/>
      </w:pPr>
      <w:r>
        <w:rPr>
          <w:b/>
          <w:bCs/>
          <w:color w:val="57534A"/>
          <w:sz w:val="20"/>
          <w:szCs w:val="20"/>
        </w:rPr>
        <w:t xml:space="preserve">The property &amp; standard</w:t>
      </w:r>
    </w:p>
    <w:p>
      <w:pPr>
        <w:spacing w:after="110" w:line="276"/>
      </w:pPr>
      <w:r>
        <w:rPr>
          <w:color w:val="1B1A18"/>
          <w:sz w:val="20"/>
          <w:szCs w:val="20"/>
        </w:rPr>
        <w:t xml:space="preserve">Sovereignty as structure. A property (lawful operation) depended on a single jurisdictional arrangement outside the entity’s control.</w:t>
      </w:r>
    </w:p>
    <w:p>
      <w:pPr>
        <w:pStyle w:val="Heading3"/>
        <w:spacing w:after="70" w:before="160"/>
      </w:pPr>
      <w:r>
        <w:rPr>
          <w:b/>
          <w:bCs/>
          <w:color w:val="57534A"/>
          <w:sz w:val="20"/>
          <w:szCs w:val="20"/>
        </w:rPr>
        <w:t xml:space="preserve">Supervisory takeaway</w:t>
      </w:r>
    </w:p>
    <w:p>
      <w:pPr>
        <w:spacing w:after="110" w:line="276"/>
      </w:pPr>
      <w:r>
        <w:rPr>
          <w:color w:val="1B1A18"/>
          <w:sz w:val="20"/>
          <w:szCs w:val="20"/>
        </w:rPr>
        <w:t xml:space="preserve">Require entities to evidence a dependency census and the fallback for each load-bearing provider and jurisdiction; assume a single legal arrangement can be invalidated and test the alternative.</w:t>
      </w:r>
    </w:p>
    <w:p>
      <w:r>
        <w:br w:type="page"/>
      </w:r>
    </w:p>
    <w:p>
      <w:pPr>
        <w:pStyle w:val="Heading2"/>
        <w:spacing w:after="90" w:before="220"/>
      </w:pPr>
      <w:r>
        <w:rPr>
          <w:b/>
          <w:bCs/>
          <w:color w:val="1B1A18"/>
          <w:sz w:val="23"/>
          <w:szCs w:val="23"/>
        </w:rPr>
        <w:t xml:space="preserve">Case 6 — A national authority suspends an AI service — isolation and data protection</w:t>
      </w:r>
    </w:p>
    <w:p>
      <w:pPr>
        <w:spacing w:after="120" w:before="30" w:line="264"/>
      </w:pPr>
      <w:r>
        <w:rPr>
          <w:b/>
          <w:bCs/>
          <w:color w:val="57534A"/>
          <w:sz w:val="17"/>
          <w:szCs w:val="17"/>
        </w:rPr>
        <w:t xml:space="preserve">Citation.  </w:t>
      </w:r>
      <w:r>
        <w:rPr>
          <w:i/>
          <w:iCs/>
          <w:color w:val="6E6A62"/>
          <w:sz w:val="17"/>
          <w:szCs w:val="17"/>
        </w:rPr>
        <w:t xml:space="preserve">Operator post-mortem (24 Mar 2023); national data-protection authority suspension order (31 Mar 2023); OWASP Top 10 for LLM Applications (LLM01, prompt injection).</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A software bug exposed other users’ conversation titles and some payment-related details of ~1.2% of subscribers during a nine-hour window; a data-protection authority ordered the service suspended pending conditions.</w:t>
      </w:r>
    </w:p>
    <w:p>
      <w:pPr>
        <w:pStyle w:val="Heading3"/>
        <w:spacing w:after="70" w:before="160"/>
      </w:pPr>
      <w:r>
        <w:rPr>
          <w:b/>
          <w:bCs/>
          <w:color w:val="57534A"/>
          <w:sz w:val="20"/>
          <w:szCs w:val="20"/>
        </w:rPr>
        <w:t xml:space="preserve">Outcome / holding</w:t>
      </w:r>
    </w:p>
    <w:p>
      <w:pPr>
        <w:spacing w:after="110" w:line="276"/>
      </w:pPr>
      <w:r>
        <w:rPr>
          <w:color w:val="1B1A18"/>
          <w:sz w:val="20"/>
          <w:szCs w:val="20"/>
        </w:rPr>
        <w:t xml:space="preserve">The service was suspended in that jurisdiction and resumed weeks later after conditions were met.</w:t>
      </w:r>
    </w:p>
    <w:p>
      <w:pPr>
        <w:pStyle w:val="Heading3"/>
        <w:spacing w:after="70" w:before="160"/>
      </w:pPr>
      <w:r>
        <w:rPr>
          <w:b/>
          <w:bCs/>
          <w:color w:val="57534A"/>
          <w:sz w:val="20"/>
          <w:szCs w:val="20"/>
        </w:rPr>
        <w:t xml:space="preserve">The property &amp; standard</w:t>
      </w:r>
    </w:p>
    <w:p>
      <w:pPr>
        <w:spacing w:after="110" w:line="276"/>
      </w:pPr>
      <w:r>
        <w:rPr>
          <w:color w:val="1B1A18"/>
          <w:sz w:val="20"/>
          <w:szCs w:val="20"/>
        </w:rPr>
        <w:t xml:space="preserve">Isolation and institutional memory / data protection. A tenancy boundary held only ‘usually’; untrusted input and cross-tenant exposure are live risks (prompt injection ranks first on the OWASP LLM list).</w:t>
      </w:r>
    </w:p>
    <w:p>
      <w:pPr>
        <w:pStyle w:val="Heading3"/>
        <w:spacing w:after="70" w:before="160"/>
      </w:pPr>
      <w:r>
        <w:rPr>
          <w:b/>
          <w:bCs/>
          <w:color w:val="57534A"/>
          <w:sz w:val="20"/>
          <w:szCs w:val="20"/>
        </w:rPr>
        <w:t xml:space="preserve">Supervisory takeaway</w:t>
      </w:r>
    </w:p>
    <w:p>
      <w:pPr>
        <w:spacing w:after="110" w:line="276"/>
      </w:pPr>
      <w:r>
        <w:rPr>
          <w:color w:val="1B1A18"/>
          <w:sz w:val="20"/>
          <w:szCs w:val="20"/>
        </w:rPr>
        <w:t xml:space="preserve">For multi-tenant AI services, require isolation by construction — ask whether a cross-tenant action is impossible, or merely against policy — and treat prompt-injection exposure as a governance risk, not a defect to be patched.</w:t>
      </w:r>
    </w:p>
    <w:p>
      <w:r>
        <w:br w:type="page"/>
      </w:r>
    </w:p>
    <w:p>
      <w:pPr>
        <w:pStyle w:val="Heading1"/>
        <w:spacing w:after="130" w:before="300"/>
      </w:pPr>
      <w:r>
        <w:rPr>
          <w:b/>
          <w:bCs/>
          <w:color w:val="33302B"/>
          <w:sz w:val="29"/>
          <w:szCs w:val="29"/>
        </w:rPr>
        <w:t xml:space="preserve">Part C — The nine-test examination protocol</w:t>
      </w:r>
    </w:p>
    <w:p>
      <w:pPr>
        <w:spacing w:after="110" w:line="276"/>
      </w:pPr>
      <w:r>
        <w:rPr>
          <w:i/>
          <w:iCs/>
          <w:color w:val="6E6A62"/>
          <w:sz w:val="20"/>
          <w:szCs w:val="20"/>
        </w:rPr>
        <w:t xml:space="preserve">A technology-neutral examination instrument. Begin with the single-clause specification; each test demands a demonstration against structure, which a document cannot provide. Record a verdict (Pass / Partial / Fail) and the evidence observed.</w:t>
      </w:r>
    </w:p>
    <w:p>
      <w:pPr>
        <w:spacing w:after="110" w:line="276"/>
      </w:pPr>
      <w:r>
        <w:rPr>
          <w:b/>
          <w:bCs/>
          <w:color w:val="1B1A18"/>
          <w:sz w:val="20"/>
          <w:szCs w:val="20"/>
        </w:rPr>
        <w:t xml:space="preserve">Single-clause specification.  </w:t>
      </w:r>
      <w:r>
        <w:rPr>
          <w:color w:val="1B1A18"/>
          <w:sz w:val="20"/>
          <w:szCs w:val="20"/>
        </w:rPr>
        <w:t xml:space="preserve">Show the crossing, and show what survives it — have the entity walk real work across a real boundary, live, and inspect what arrives with it.</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450"/>
        <w:gridCol w:w="3900"/>
        <w:gridCol w:w="3100"/>
        <w:gridCol w:w="2630"/>
      </w:tblGrid>
      <w:tr>
        <w:trPr>
          <w:tblHeader/>
        </w:trPr>
        <w:tc>
          <w:tcPr>
            <w:tcW w:type="dxa" w:w="450"/>
            <w:shd w:fill="33302B" w:color="auto" w:val="clear"/>
            <w:tcMar>
              <w:top w:type="dxa" w:w="55"/>
              <w:left w:type="dxa" w:w="90"/>
              <w:bottom w:type="dxa" w:w="55"/>
              <w:right w:type="dxa" w:w="90"/>
            </w:tcMar>
          </w:tcPr>
          <w:p>
            <w:pPr>
              <w:spacing w:after="0" w:line="248"/>
            </w:pPr>
            <w:r>
              <w:rPr>
                <w:b/>
                <w:bCs/>
                <w:color w:val="FFFFFF"/>
                <w:sz w:val="17"/>
                <w:szCs w:val="17"/>
              </w:rPr>
              <w:t xml:space="preserve">#</w:t>
            </w:r>
          </w:p>
        </w:tc>
        <w:tc>
          <w:tcPr>
            <w:tcW w:type="dxa" w:w="3900"/>
            <w:shd w:fill="33302B" w:color="auto" w:val="clear"/>
            <w:tcMar>
              <w:top w:type="dxa" w:w="55"/>
              <w:left w:type="dxa" w:w="90"/>
              <w:bottom w:type="dxa" w:w="55"/>
              <w:right w:type="dxa" w:w="90"/>
            </w:tcMar>
          </w:tcPr>
          <w:p>
            <w:pPr>
              <w:spacing w:after="0" w:line="248"/>
            </w:pPr>
            <w:r>
              <w:rPr>
                <w:b/>
                <w:bCs/>
                <w:color w:val="FFFFFF"/>
                <w:sz w:val="17"/>
                <w:szCs w:val="17"/>
              </w:rPr>
              <w:t xml:space="preserve">Test — what to demand</w:t>
            </w:r>
          </w:p>
        </w:tc>
        <w:tc>
          <w:tcPr>
            <w:tcW w:type="dxa" w:w="3100"/>
            <w:shd w:fill="33302B" w:color="auto" w:val="clear"/>
            <w:tcMar>
              <w:top w:type="dxa" w:w="55"/>
              <w:left w:type="dxa" w:w="90"/>
              <w:bottom w:type="dxa" w:w="55"/>
              <w:right w:type="dxa" w:w="90"/>
            </w:tcMar>
          </w:tcPr>
          <w:p>
            <w:pPr>
              <w:spacing w:after="0" w:line="248"/>
            </w:pPr>
            <w:r>
              <w:rPr>
                <w:b/>
                <w:bCs/>
                <w:color w:val="FFFFFF"/>
                <w:sz w:val="17"/>
                <w:szCs w:val="17"/>
              </w:rPr>
              <w:t xml:space="preserve">A pass looks like</w:t>
            </w:r>
          </w:p>
        </w:tc>
        <w:tc>
          <w:tcPr>
            <w:tcW w:type="dxa" w:w="2630"/>
            <w:shd w:fill="33302B" w:color="auto" w:val="clear"/>
            <w:tcMar>
              <w:top w:type="dxa" w:w="55"/>
              <w:left w:type="dxa" w:w="90"/>
              <w:bottom w:type="dxa" w:w="55"/>
              <w:right w:type="dxa" w:w="90"/>
            </w:tcMar>
          </w:tcPr>
          <w:p>
            <w:pPr>
              <w:spacing w:after="0" w:line="248"/>
            </w:pPr>
            <w:r>
              <w:rPr>
                <w:b/>
                <w:bCs/>
                <w:color w:val="FFFFFF"/>
                <w:sz w:val="17"/>
                <w:szCs w:val="17"/>
              </w:rPr>
              <w:t xml:space="preserve">Disqualifier</w:t>
            </w:r>
          </w:p>
        </w:tc>
      </w:tr>
      <w:tr>
        <w:tc>
          <w:tcPr>
            <w:tcW w:type="dxa" w:w="450"/>
            <w:shd w:fill="FFFFFF" w:color="auto" w:val="clear"/>
            <w:tcMar>
              <w:top w:type="dxa" w:w="55"/>
              <w:left w:type="dxa" w:w="90"/>
              <w:bottom w:type="dxa" w:w="55"/>
              <w:right w:type="dxa" w:w="90"/>
            </w:tcMar>
          </w:tcPr>
          <w:p>
            <w:pPr>
              <w:spacing w:after="0" w:line="248"/>
            </w:pPr>
            <w:r>
              <w:rPr>
                <w:color w:val="1B1A18"/>
                <w:sz w:val="17"/>
                <w:szCs w:val="17"/>
              </w:rPr>
              <w:t xml:space="preserve">1</w:t>
            </w:r>
          </w:p>
        </w:tc>
        <w:tc>
          <w:tcPr>
            <w:tcW w:type="dxa" w:w="3900"/>
            <w:shd w:fill="FFFFFF" w:color="auto" w:val="clear"/>
            <w:tcMar>
              <w:top w:type="dxa" w:w="55"/>
              <w:left w:type="dxa" w:w="90"/>
              <w:bottom w:type="dxa" w:w="55"/>
              <w:right w:type="dxa" w:w="90"/>
            </w:tcMar>
          </w:tcPr>
          <w:p>
            <w:pPr>
              <w:spacing w:after="0" w:line="248"/>
            </w:pPr>
            <w:r>
              <w:rPr>
                <w:color w:val="1B1A18"/>
                <w:sz w:val="17"/>
                <w:szCs w:val="17"/>
              </w:rPr>
              <w:t xml:space="preserve">Onboarding: add a new rule/tenant, live</w:t>
            </w:r>
          </w:p>
        </w:tc>
        <w:tc>
          <w:tcPr>
            <w:tcW w:type="dxa" w:w="3100"/>
            <w:shd w:fill="FFFFFF" w:color="auto" w:val="clear"/>
            <w:tcMar>
              <w:top w:type="dxa" w:w="55"/>
              <w:left w:type="dxa" w:w="90"/>
              <w:bottom w:type="dxa" w:w="55"/>
              <w:right w:type="dxa" w:w="90"/>
            </w:tcMar>
          </w:tcPr>
          <w:p>
            <w:pPr>
              <w:spacing w:after="0" w:line="248"/>
            </w:pPr>
            <w:r>
              <w:rPr>
                <w:color w:val="1B1A18"/>
                <w:sz w:val="17"/>
                <w:szCs w:val="17"/>
              </w:rPr>
              <w:t xml:space="preserve">New data (configuration); no code release</w:t>
            </w:r>
          </w:p>
        </w:tc>
        <w:tc>
          <w:tcPr>
            <w:tcW w:type="dxa" w:w="2630"/>
            <w:shd w:fill="FFFFFF" w:color="auto" w:val="clear"/>
            <w:tcMar>
              <w:top w:type="dxa" w:w="55"/>
              <w:left w:type="dxa" w:w="90"/>
              <w:bottom w:type="dxa" w:w="55"/>
              <w:right w:type="dxa" w:w="90"/>
            </w:tcMar>
          </w:tcPr>
          <w:p>
            <w:pPr>
              <w:spacing w:after="0" w:line="248"/>
            </w:pPr>
            <w:r>
              <w:rPr>
                <w:color w:val="1B1A18"/>
                <w:sz w:val="17"/>
                <w:szCs w:val="17"/>
              </w:rPr>
              <w:t xml:space="preserve">A branch, a subclass, or a release</w:t>
            </w:r>
          </w:p>
        </w:tc>
      </w:tr>
      <w:tr>
        <w:tc>
          <w:tcPr>
            <w:tcW w:type="dxa" w:w="450"/>
            <w:shd w:fill="F4F2EE" w:color="auto" w:val="clear"/>
            <w:tcMar>
              <w:top w:type="dxa" w:w="55"/>
              <w:left w:type="dxa" w:w="90"/>
              <w:bottom w:type="dxa" w:w="55"/>
              <w:right w:type="dxa" w:w="90"/>
            </w:tcMar>
          </w:tcPr>
          <w:p>
            <w:pPr>
              <w:spacing w:after="0" w:line="248"/>
            </w:pPr>
            <w:r>
              <w:rPr>
                <w:color w:val="1B1A18"/>
                <w:sz w:val="17"/>
                <w:szCs w:val="17"/>
              </w:rPr>
              <w:t xml:space="preserve">2</w:t>
            </w:r>
          </w:p>
        </w:tc>
        <w:tc>
          <w:tcPr>
            <w:tcW w:type="dxa" w:w="3900"/>
            <w:shd w:fill="F4F2EE" w:color="auto" w:val="clear"/>
            <w:tcMar>
              <w:top w:type="dxa" w:w="55"/>
              <w:left w:type="dxa" w:w="90"/>
              <w:bottom w:type="dxa" w:w="55"/>
              <w:right w:type="dxa" w:w="90"/>
            </w:tcMar>
          </w:tcPr>
          <w:p>
            <w:pPr>
              <w:spacing w:after="0" w:line="248"/>
            </w:pPr>
            <w:r>
              <w:rPr>
                <w:color w:val="1B1A18"/>
                <w:sz w:val="17"/>
                <w:szCs w:val="17"/>
              </w:rPr>
              <w:t xml:space="preserve">Where-proven: where a new agent is proven</w:t>
            </w:r>
          </w:p>
        </w:tc>
        <w:tc>
          <w:tcPr>
            <w:tcW w:type="dxa" w:w="3100"/>
            <w:shd w:fill="F4F2EE" w:color="auto" w:val="clear"/>
            <w:tcMar>
              <w:top w:type="dxa" w:w="55"/>
              <w:left w:type="dxa" w:w="90"/>
              <w:bottom w:type="dxa" w:w="55"/>
              <w:right w:type="dxa" w:w="90"/>
            </w:tcMar>
          </w:tcPr>
          <w:p>
            <w:pPr>
              <w:spacing w:after="0" w:line="248"/>
            </w:pPr>
            <w:r>
              <w:rPr>
                <w:color w:val="1B1A18"/>
                <w:sz w:val="17"/>
                <w:szCs w:val="17"/>
              </w:rPr>
              <w:t xml:space="preserve">Inside the controls it will operate under</w:t>
            </w:r>
          </w:p>
        </w:tc>
        <w:tc>
          <w:tcPr>
            <w:tcW w:type="dxa" w:w="2630"/>
            <w:shd w:fill="F4F2EE" w:color="auto" w:val="clear"/>
            <w:tcMar>
              <w:top w:type="dxa" w:w="55"/>
              <w:left w:type="dxa" w:w="90"/>
              <w:bottom w:type="dxa" w:w="55"/>
              <w:right w:type="dxa" w:w="90"/>
            </w:tcMar>
          </w:tcPr>
          <w:p>
            <w:pPr>
              <w:spacing w:after="0" w:line="248"/>
            </w:pPr>
            <w:r>
              <w:rPr>
                <w:color w:val="1B1A18"/>
                <w:sz w:val="17"/>
                <w:szCs w:val="17"/>
              </w:rPr>
              <w:t xml:space="preserve">A development environment or pipeline</w:t>
            </w:r>
          </w:p>
        </w:tc>
      </w:tr>
      <w:tr>
        <w:tc>
          <w:tcPr>
            <w:tcW w:type="dxa" w:w="450"/>
            <w:shd w:fill="FFFFFF" w:color="auto" w:val="clear"/>
            <w:tcMar>
              <w:top w:type="dxa" w:w="55"/>
              <w:left w:type="dxa" w:w="90"/>
              <w:bottom w:type="dxa" w:w="55"/>
              <w:right w:type="dxa" w:w="90"/>
            </w:tcMar>
          </w:tcPr>
          <w:p>
            <w:pPr>
              <w:spacing w:after="0" w:line="248"/>
            </w:pPr>
            <w:r>
              <w:rPr>
                <w:color w:val="1B1A18"/>
                <w:sz w:val="17"/>
                <w:szCs w:val="17"/>
              </w:rPr>
              <w:t xml:space="preserve">3</w:t>
            </w:r>
          </w:p>
        </w:tc>
        <w:tc>
          <w:tcPr>
            <w:tcW w:type="dxa" w:w="3900"/>
            <w:shd w:fill="FFFFFF" w:color="auto" w:val="clear"/>
            <w:tcMar>
              <w:top w:type="dxa" w:w="55"/>
              <w:left w:type="dxa" w:w="90"/>
              <w:bottom w:type="dxa" w:w="55"/>
              <w:right w:type="dxa" w:w="90"/>
            </w:tcMar>
          </w:tcPr>
          <w:p>
            <w:pPr>
              <w:spacing w:after="0" w:line="248"/>
            </w:pPr>
            <w:r>
              <w:rPr>
                <w:color w:val="1B1A18"/>
                <w:sz w:val="17"/>
                <w:szCs w:val="17"/>
              </w:rPr>
              <w:t xml:space="preserve">Address: a ‘never’ and its enforcement point</w:t>
            </w:r>
          </w:p>
        </w:tc>
        <w:tc>
          <w:tcPr>
            <w:tcW w:type="dxa" w:w="3100"/>
            <w:shd w:fill="FFFFFF" w:color="auto" w:val="clear"/>
            <w:tcMar>
              <w:top w:type="dxa" w:w="55"/>
              <w:left w:type="dxa" w:w="90"/>
              <w:bottom w:type="dxa" w:w="55"/>
              <w:right w:type="dxa" w:w="90"/>
            </w:tcMar>
          </w:tcPr>
          <w:p>
            <w:pPr>
              <w:spacing w:after="0" w:line="248"/>
            </w:pPr>
            <w:r>
              <w:rPr>
                <w:color w:val="1B1A18"/>
                <w:sz w:val="17"/>
                <w:szCs w:val="17"/>
              </w:rPr>
              <w:t xml:space="preserve">A structural gate the work passes through</w:t>
            </w:r>
          </w:p>
        </w:tc>
        <w:tc>
          <w:tcPr>
            <w:tcW w:type="dxa" w:w="2630"/>
            <w:shd w:fill="FFFFFF" w:color="auto" w:val="clear"/>
            <w:tcMar>
              <w:top w:type="dxa" w:w="55"/>
              <w:left w:type="dxa" w:w="90"/>
              <w:bottom w:type="dxa" w:w="55"/>
              <w:right w:type="dxa" w:w="90"/>
            </w:tcMar>
          </w:tcPr>
          <w:p>
            <w:pPr>
              <w:spacing w:after="0" w:line="248"/>
            </w:pPr>
            <w:r>
              <w:rPr>
                <w:color w:val="1B1A18"/>
                <w:sz w:val="17"/>
                <w:szCs w:val="17"/>
              </w:rPr>
              <w:t xml:space="preserve">The word ‘prompt’ / ‘we instruct the model’</w:t>
            </w:r>
          </w:p>
        </w:tc>
      </w:tr>
      <w:tr>
        <w:tc>
          <w:tcPr>
            <w:tcW w:type="dxa" w:w="450"/>
            <w:shd w:fill="F4F2EE" w:color="auto" w:val="clear"/>
            <w:tcMar>
              <w:top w:type="dxa" w:w="55"/>
              <w:left w:type="dxa" w:w="90"/>
              <w:bottom w:type="dxa" w:w="55"/>
              <w:right w:type="dxa" w:w="90"/>
            </w:tcMar>
          </w:tcPr>
          <w:p>
            <w:pPr>
              <w:spacing w:after="0" w:line="248"/>
            </w:pPr>
            <w:r>
              <w:rPr>
                <w:color w:val="1B1A18"/>
                <w:sz w:val="17"/>
                <w:szCs w:val="17"/>
              </w:rPr>
              <w:t xml:space="preserve">4</w:t>
            </w:r>
          </w:p>
        </w:tc>
        <w:tc>
          <w:tcPr>
            <w:tcW w:type="dxa" w:w="3900"/>
            <w:shd w:fill="F4F2EE" w:color="auto" w:val="clear"/>
            <w:tcMar>
              <w:top w:type="dxa" w:w="55"/>
              <w:left w:type="dxa" w:w="90"/>
              <w:bottom w:type="dxa" w:w="55"/>
              <w:right w:type="dxa" w:w="90"/>
            </w:tcMar>
          </w:tcPr>
          <w:p>
            <w:pPr>
              <w:spacing w:after="0" w:line="248"/>
            </w:pPr>
            <w:r>
              <w:rPr>
                <w:color w:val="1B1A18"/>
                <w:sz w:val="17"/>
                <w:szCs w:val="17"/>
              </w:rPr>
              <w:t xml:space="preserve">Expressibility: write the cross-tenant statement</w:t>
            </w:r>
          </w:p>
        </w:tc>
        <w:tc>
          <w:tcPr>
            <w:tcW w:type="dxa" w:w="3100"/>
            <w:shd w:fill="F4F2EE" w:color="auto" w:val="clear"/>
            <w:tcMar>
              <w:top w:type="dxa" w:w="55"/>
              <w:left w:type="dxa" w:w="90"/>
              <w:bottom w:type="dxa" w:w="55"/>
              <w:right w:type="dxa" w:w="90"/>
            </w:tcMar>
          </w:tcPr>
          <w:p>
            <w:pPr>
              <w:spacing w:after="0" w:line="248"/>
            </w:pPr>
            <w:r>
              <w:rPr>
                <w:color w:val="1B1A18"/>
                <w:sz w:val="17"/>
                <w:szCs w:val="17"/>
              </w:rPr>
              <w:t xml:space="preserve">It cannot be expressed in the structure</w:t>
            </w:r>
          </w:p>
        </w:tc>
        <w:tc>
          <w:tcPr>
            <w:tcW w:type="dxa" w:w="2630"/>
            <w:shd w:fill="F4F2EE" w:color="auto" w:val="clear"/>
            <w:tcMar>
              <w:top w:type="dxa" w:w="55"/>
              <w:left w:type="dxa" w:w="90"/>
              <w:bottom w:type="dxa" w:w="55"/>
              <w:right w:type="dxa" w:w="90"/>
            </w:tcMar>
          </w:tcPr>
          <w:p>
            <w:pPr>
              <w:spacing w:after="0" w:line="248"/>
            </w:pPr>
            <w:r>
              <w:rPr>
                <w:color w:val="1B1A18"/>
                <w:sz w:val="17"/>
                <w:szCs w:val="17"/>
              </w:rPr>
              <w:t xml:space="preserve">It can be written (isolation is policy)</w:t>
            </w:r>
          </w:p>
        </w:tc>
      </w:tr>
      <w:tr>
        <w:tc>
          <w:tcPr>
            <w:tcW w:type="dxa" w:w="450"/>
            <w:shd w:fill="FFFFFF" w:color="auto" w:val="clear"/>
            <w:tcMar>
              <w:top w:type="dxa" w:w="55"/>
              <w:left w:type="dxa" w:w="90"/>
              <w:bottom w:type="dxa" w:w="55"/>
              <w:right w:type="dxa" w:w="90"/>
            </w:tcMar>
          </w:tcPr>
          <w:p>
            <w:pPr>
              <w:spacing w:after="0" w:line="248"/>
            </w:pPr>
            <w:r>
              <w:rPr>
                <w:color w:val="1B1A18"/>
                <w:sz w:val="17"/>
                <w:szCs w:val="17"/>
              </w:rPr>
              <w:t xml:space="preserve">5</w:t>
            </w:r>
          </w:p>
        </w:tc>
        <w:tc>
          <w:tcPr>
            <w:tcW w:type="dxa" w:w="3900"/>
            <w:shd w:fill="FFFFFF" w:color="auto" w:val="clear"/>
            <w:tcMar>
              <w:top w:type="dxa" w:w="55"/>
              <w:left w:type="dxa" w:w="90"/>
              <w:bottom w:type="dxa" w:w="55"/>
              <w:right w:type="dxa" w:w="90"/>
            </w:tcMar>
          </w:tcPr>
          <w:p>
            <w:pPr>
              <w:spacing w:after="0" w:line="248"/>
            </w:pPr>
            <w:r>
              <w:rPr>
                <w:color w:val="1B1A18"/>
                <w:sz w:val="17"/>
                <w:szCs w:val="17"/>
              </w:rPr>
              <w:t xml:space="preserve">Origin: what is known about input source</w:t>
            </w:r>
          </w:p>
        </w:tc>
        <w:tc>
          <w:tcPr>
            <w:tcW w:type="dxa" w:w="3100"/>
            <w:shd w:fill="FFFFFF" w:color="auto" w:val="clear"/>
            <w:tcMar>
              <w:top w:type="dxa" w:w="55"/>
              <w:left w:type="dxa" w:w="90"/>
              <w:bottom w:type="dxa" w:w="55"/>
              <w:right w:type="dxa" w:w="90"/>
            </w:tcMar>
          </w:tcPr>
          <w:p>
            <w:pPr>
              <w:spacing w:after="0" w:line="248"/>
            </w:pPr>
            <w:r>
              <w:rPr>
                <w:color w:val="1B1A18"/>
                <w:sz w:val="17"/>
                <w:szCs w:val="17"/>
              </w:rPr>
              <w:t xml:space="preserve">Origin recorded; its influence bounded</w:t>
            </w:r>
          </w:p>
        </w:tc>
        <w:tc>
          <w:tcPr>
            <w:tcW w:type="dxa" w:w="2630"/>
            <w:shd w:fill="FFFFFF" w:color="auto" w:val="clear"/>
            <w:tcMar>
              <w:top w:type="dxa" w:w="55"/>
              <w:left w:type="dxa" w:w="90"/>
              <w:bottom w:type="dxa" w:w="55"/>
              <w:right w:type="dxa" w:w="90"/>
            </w:tcMar>
          </w:tcPr>
          <w:p>
            <w:pPr>
              <w:spacing w:after="0" w:line="248"/>
            </w:pPr>
            <w:r>
              <w:rPr>
                <w:color w:val="1B1A18"/>
                <w:sz w:val="17"/>
                <w:szCs w:val="17"/>
              </w:rPr>
              <w:t xml:space="preserve">Origin unknown or unconstrained</w:t>
            </w:r>
          </w:p>
        </w:tc>
      </w:tr>
      <w:tr>
        <w:tc>
          <w:tcPr>
            <w:tcW w:type="dxa" w:w="450"/>
            <w:shd w:fill="F4F2EE" w:color="auto" w:val="clear"/>
            <w:tcMar>
              <w:top w:type="dxa" w:w="55"/>
              <w:left w:type="dxa" w:w="90"/>
              <w:bottom w:type="dxa" w:w="55"/>
              <w:right w:type="dxa" w:w="90"/>
            </w:tcMar>
          </w:tcPr>
          <w:p>
            <w:pPr>
              <w:spacing w:after="0" w:line="248"/>
            </w:pPr>
            <w:r>
              <w:rPr>
                <w:color w:val="1B1A18"/>
                <w:sz w:val="17"/>
                <w:szCs w:val="17"/>
              </w:rPr>
              <w:t xml:space="preserve">6</w:t>
            </w:r>
          </w:p>
        </w:tc>
        <w:tc>
          <w:tcPr>
            <w:tcW w:type="dxa" w:w="3900"/>
            <w:shd w:fill="F4F2EE" w:color="auto" w:val="clear"/>
            <w:tcMar>
              <w:top w:type="dxa" w:w="55"/>
              <w:left w:type="dxa" w:w="90"/>
              <w:bottom w:type="dxa" w:w="55"/>
              <w:right w:type="dxa" w:w="90"/>
            </w:tcMar>
          </w:tcPr>
          <w:p>
            <w:pPr>
              <w:spacing w:after="0" w:line="248"/>
            </w:pPr>
            <w:r>
              <w:rPr>
                <w:color w:val="1B1A18"/>
                <w:sz w:val="17"/>
                <w:szCs w:val="17"/>
              </w:rPr>
              <w:t xml:space="preserve">Dependency census: the reliance list</w:t>
            </w:r>
          </w:p>
        </w:tc>
        <w:tc>
          <w:tcPr>
            <w:tcW w:type="dxa" w:w="3100"/>
            <w:shd w:fill="F4F2EE" w:color="auto" w:val="clear"/>
            <w:tcMar>
              <w:top w:type="dxa" w:w="55"/>
              <w:left w:type="dxa" w:w="90"/>
              <w:bottom w:type="dxa" w:w="55"/>
              <w:right w:type="dxa" w:w="90"/>
            </w:tcMar>
          </w:tcPr>
          <w:p>
            <w:pPr>
              <w:spacing w:after="0" w:line="248"/>
            </w:pPr>
            <w:r>
              <w:rPr>
                <w:color w:val="1B1A18"/>
                <w:sz w:val="17"/>
                <w:szCs w:val="17"/>
              </w:rPr>
              <w:t xml:space="preserve">A known, bounded list</w:t>
            </w:r>
          </w:p>
        </w:tc>
        <w:tc>
          <w:tcPr>
            <w:tcW w:type="dxa" w:w="2630"/>
            <w:shd w:fill="F4F2EE" w:color="auto" w:val="clear"/>
            <w:tcMar>
              <w:top w:type="dxa" w:w="55"/>
              <w:left w:type="dxa" w:w="90"/>
              <w:bottom w:type="dxa" w:w="55"/>
              <w:right w:type="dxa" w:w="90"/>
            </w:tcMar>
          </w:tcPr>
          <w:p>
            <w:pPr>
              <w:spacing w:after="0" w:line="248"/>
            </w:pPr>
            <w:r>
              <w:rPr>
                <w:color w:val="1B1A18"/>
                <w:sz w:val="17"/>
                <w:szCs w:val="17"/>
              </w:rPr>
              <w:t xml:space="preserve">An unknown or unbounded count</w:t>
            </w:r>
          </w:p>
        </w:tc>
      </w:tr>
      <w:tr>
        <w:tc>
          <w:tcPr>
            <w:tcW w:type="dxa" w:w="450"/>
            <w:shd w:fill="FFFFFF" w:color="auto" w:val="clear"/>
            <w:tcMar>
              <w:top w:type="dxa" w:w="55"/>
              <w:left w:type="dxa" w:w="90"/>
              <w:bottom w:type="dxa" w:w="55"/>
              <w:right w:type="dxa" w:w="90"/>
            </w:tcMar>
          </w:tcPr>
          <w:p>
            <w:pPr>
              <w:spacing w:after="0" w:line="248"/>
            </w:pPr>
            <w:r>
              <w:rPr>
                <w:color w:val="1B1A18"/>
                <w:sz w:val="17"/>
                <w:szCs w:val="17"/>
              </w:rPr>
              <w:t xml:space="preserve">7</w:t>
            </w:r>
          </w:p>
        </w:tc>
        <w:tc>
          <w:tcPr>
            <w:tcW w:type="dxa" w:w="3900"/>
            <w:shd w:fill="FFFFFF" w:color="auto" w:val="clear"/>
            <w:tcMar>
              <w:top w:type="dxa" w:w="55"/>
              <w:left w:type="dxa" w:w="90"/>
              <w:bottom w:type="dxa" w:w="55"/>
              <w:right w:type="dxa" w:w="90"/>
            </w:tcMar>
          </w:tcPr>
          <w:p>
            <w:pPr>
              <w:spacing w:after="0" w:line="248"/>
            </w:pPr>
            <w:r>
              <w:rPr>
                <w:color w:val="1B1A18"/>
                <w:sz w:val="17"/>
                <w:szCs w:val="17"/>
              </w:rPr>
              <w:t xml:space="preserve">Substitution: cost of saying no to a party</w:t>
            </w:r>
          </w:p>
        </w:tc>
        <w:tc>
          <w:tcPr>
            <w:tcW w:type="dxa" w:w="3100"/>
            <w:shd w:fill="FFFFFF" w:color="auto" w:val="clear"/>
            <w:tcMar>
              <w:top w:type="dxa" w:w="55"/>
              <w:left w:type="dxa" w:w="90"/>
              <w:bottom w:type="dxa" w:w="55"/>
              <w:right w:type="dxa" w:w="90"/>
            </w:tcMar>
          </w:tcPr>
          <w:p>
            <w:pPr>
              <w:spacing w:after="0" w:line="248"/>
            </w:pPr>
            <w:r>
              <w:rPr>
                <w:color w:val="1B1A18"/>
                <w:sz w:val="17"/>
                <w:szCs w:val="17"/>
              </w:rPr>
              <w:t xml:space="preserve">A real, costed alternative exists</w:t>
            </w:r>
          </w:p>
        </w:tc>
        <w:tc>
          <w:tcPr>
            <w:tcW w:type="dxa" w:w="2630"/>
            <w:shd w:fill="FFFFFF" w:color="auto" w:val="clear"/>
            <w:tcMar>
              <w:top w:type="dxa" w:w="55"/>
              <w:left w:type="dxa" w:w="90"/>
              <w:bottom w:type="dxa" w:w="55"/>
              <w:right w:type="dxa" w:w="90"/>
            </w:tcMar>
          </w:tcPr>
          <w:p>
            <w:pPr>
              <w:spacing w:after="0" w:line="248"/>
            </w:pPr>
            <w:r>
              <w:rPr>
                <w:color w:val="1B1A18"/>
                <w:sz w:val="17"/>
                <w:szCs w:val="17"/>
              </w:rPr>
              <w:t xml:space="preserve">‘Cannot’ for a load-bearing party</w:t>
            </w:r>
          </w:p>
        </w:tc>
      </w:tr>
      <w:tr>
        <w:tc>
          <w:tcPr>
            <w:tcW w:type="dxa" w:w="450"/>
            <w:shd w:fill="F4F2EE" w:color="auto" w:val="clear"/>
            <w:tcMar>
              <w:top w:type="dxa" w:w="55"/>
              <w:left w:type="dxa" w:w="90"/>
              <w:bottom w:type="dxa" w:w="55"/>
              <w:right w:type="dxa" w:w="90"/>
            </w:tcMar>
          </w:tcPr>
          <w:p>
            <w:pPr>
              <w:spacing w:after="0" w:line="248"/>
            </w:pPr>
            <w:r>
              <w:rPr>
                <w:color w:val="1B1A18"/>
                <w:sz w:val="17"/>
                <w:szCs w:val="17"/>
              </w:rPr>
              <w:t xml:space="preserve">8</w:t>
            </w:r>
          </w:p>
        </w:tc>
        <w:tc>
          <w:tcPr>
            <w:tcW w:type="dxa" w:w="3900"/>
            <w:shd w:fill="F4F2EE" w:color="auto" w:val="clear"/>
            <w:tcMar>
              <w:top w:type="dxa" w:w="55"/>
              <w:left w:type="dxa" w:w="90"/>
              <w:bottom w:type="dxa" w:w="55"/>
              <w:right w:type="dxa" w:w="90"/>
            </w:tcMar>
          </w:tcPr>
          <w:p>
            <w:pPr>
              <w:spacing w:after="0" w:line="248"/>
            </w:pPr>
            <w:r>
              <w:rPr>
                <w:color w:val="1B1A18"/>
                <w:sz w:val="17"/>
                <w:szCs w:val="17"/>
              </w:rPr>
              <w:t xml:space="preserve">Last-month: attribution of one transaction</w:t>
            </w:r>
          </w:p>
        </w:tc>
        <w:tc>
          <w:tcPr>
            <w:tcW w:type="dxa" w:w="3100"/>
            <w:shd w:fill="F4F2EE" w:color="auto" w:val="clear"/>
            <w:tcMar>
              <w:top w:type="dxa" w:w="55"/>
              <w:left w:type="dxa" w:w="90"/>
              <w:bottom w:type="dxa" w:w="55"/>
              <w:right w:type="dxa" w:w="90"/>
            </w:tcMar>
          </w:tcPr>
          <w:p>
            <w:pPr>
              <w:spacing w:after="0" w:line="248"/>
            </w:pPr>
            <w:r>
              <w:rPr>
                <w:color w:val="1B1A18"/>
                <w:sz w:val="17"/>
                <w:szCs w:val="17"/>
              </w:rPr>
              <w:t xml:space="preserve">Complete, incl. rule version, by query</w:t>
            </w:r>
          </w:p>
        </w:tc>
        <w:tc>
          <w:tcPr>
            <w:tcW w:type="dxa" w:w="2630"/>
            <w:shd w:fill="F4F2EE" w:color="auto" w:val="clear"/>
            <w:tcMar>
              <w:top w:type="dxa" w:w="55"/>
              <w:left w:type="dxa" w:w="90"/>
              <w:bottom w:type="dxa" w:w="55"/>
              <w:right w:type="dxa" w:w="90"/>
            </w:tcMar>
          </w:tcPr>
          <w:p>
            <w:pPr>
              <w:spacing w:after="0" w:line="248"/>
            </w:pPr>
            <w:r>
              <w:rPr>
                <w:color w:val="1B1A18"/>
                <w:sz w:val="17"/>
                <w:szCs w:val="17"/>
              </w:rPr>
              <w:t xml:space="preserve">It requires an investigation</w:t>
            </w:r>
          </w:p>
        </w:tc>
      </w:tr>
      <w:tr>
        <w:tc>
          <w:tcPr>
            <w:tcW w:type="dxa" w:w="450"/>
            <w:shd w:fill="FFFFFF" w:color="auto" w:val="clear"/>
            <w:tcMar>
              <w:top w:type="dxa" w:w="55"/>
              <w:left w:type="dxa" w:w="90"/>
              <w:bottom w:type="dxa" w:w="55"/>
              <w:right w:type="dxa" w:w="90"/>
            </w:tcMar>
          </w:tcPr>
          <w:p>
            <w:pPr>
              <w:spacing w:after="0" w:line="248"/>
            </w:pPr>
            <w:r>
              <w:rPr>
                <w:color w:val="1B1A18"/>
                <w:sz w:val="17"/>
                <w:szCs w:val="17"/>
              </w:rPr>
              <w:t xml:space="preserve">9</w:t>
            </w:r>
          </w:p>
        </w:tc>
        <w:tc>
          <w:tcPr>
            <w:tcW w:type="dxa" w:w="3900"/>
            <w:shd w:fill="FFFFFF" w:color="auto" w:val="clear"/>
            <w:tcMar>
              <w:top w:type="dxa" w:w="55"/>
              <w:left w:type="dxa" w:w="90"/>
              <w:bottom w:type="dxa" w:w="55"/>
              <w:right w:type="dxa" w:w="90"/>
            </w:tcMar>
          </w:tcPr>
          <w:p>
            <w:pPr>
              <w:spacing w:after="0" w:line="248"/>
            </w:pPr>
            <w:r>
              <w:rPr>
                <w:color w:val="1B1A18"/>
                <w:sz w:val="17"/>
                <w:szCs w:val="17"/>
              </w:rPr>
              <w:t xml:space="preserve">Two-invoices + outlive: per-action cost; referee</w:t>
            </w:r>
          </w:p>
        </w:tc>
        <w:tc>
          <w:tcPr>
            <w:tcW w:type="dxa" w:w="3100"/>
            <w:shd w:fill="FFFFFF" w:color="auto" w:val="clear"/>
            <w:tcMar>
              <w:top w:type="dxa" w:w="55"/>
              <w:left w:type="dxa" w:w="90"/>
              <w:bottom w:type="dxa" w:w="55"/>
              <w:right w:type="dxa" w:w="90"/>
            </w:tcMar>
          </w:tcPr>
          <w:p>
            <w:pPr>
              <w:spacing w:after="0" w:line="248"/>
            </w:pPr>
            <w:r>
              <w:rPr>
                <w:color w:val="1B1A18"/>
                <w:sz w:val="17"/>
                <w:szCs w:val="17"/>
              </w:rPr>
              <w:t xml:space="preserve">From execution records; a neutral holder</w:t>
            </w:r>
          </w:p>
        </w:tc>
        <w:tc>
          <w:tcPr>
            <w:tcW w:type="dxa" w:w="2630"/>
            <w:shd w:fill="FFFFFF" w:color="auto" w:val="clear"/>
            <w:tcMar>
              <w:top w:type="dxa" w:w="55"/>
              <w:left w:type="dxa" w:w="90"/>
              <w:bottom w:type="dxa" w:w="55"/>
              <w:right w:type="dxa" w:w="90"/>
            </w:tcMar>
          </w:tcPr>
          <w:p>
            <w:pPr>
              <w:spacing w:after="0" w:line="248"/>
            </w:pPr>
            <w:r>
              <w:rPr>
                <w:color w:val="1B1A18"/>
                <w:sz w:val="17"/>
                <w:szCs w:val="17"/>
              </w:rPr>
              <w:t xml:space="preserve">Estimates; a holder with a stake</w:t>
            </w:r>
          </w:p>
        </w:tc>
      </w:tr>
    </w:tbl>
    <w:p>
      <w:r>
        <w:br w:type="page"/>
      </w:r>
    </w:p>
    <w:p>
      <w:pPr>
        <w:pStyle w:val="Heading1"/>
        <w:spacing w:after="130" w:before="300"/>
      </w:pPr>
      <w:r>
        <w:rPr>
          <w:b/>
          <w:bCs/>
          <w:color w:val="33302B"/>
          <w:sz w:val="29"/>
          <w:szCs w:val="29"/>
        </w:rPr>
        <w:t xml:space="preserve">Part D — Drafting standards that bind</w:t>
      </w:r>
    </w:p>
    <w:p>
      <w:pPr>
        <w:spacing w:after="110" w:line="276"/>
      </w:pPr>
      <w:r>
        <w:rPr>
          <w:color w:val="1B1A18"/>
          <w:sz w:val="20"/>
          <w:szCs w:val="20"/>
        </w:rPr>
        <w:t xml:space="preserve">Regulation is modal — must, never. A standard that binds a probabilistic system must specify not only the rule but the location and form of its enforcement, and must foreclose ‘we instruct the model’ as a compliant answer. The following notes are illustrative drafting patterns, not model law; adapt to your instrument and legal tradition.</w:t>
      </w:r>
    </w:p>
    <w:p>
      <w:pPr>
        <w:pStyle w:val="Heading3"/>
        <w:spacing w:after="70" w:before="160"/>
      </w:pPr>
      <w:r>
        <w:rPr>
          <w:b/>
          <w:bCs/>
          <w:color w:val="57534A"/>
          <w:sz w:val="20"/>
          <w:szCs w:val="20"/>
        </w:rPr>
        <w:t xml:space="preserve">Pattern 1 — require structural enforcement of a non-negotiable</w:t>
      </w:r>
    </w:p>
    <w:p>
      <w:pPr>
        <w:spacing w:after="110" w:line="276"/>
      </w:pPr>
      <w:r>
        <w:rPr>
          <w:color w:val="1B1A18"/>
          <w:sz w:val="20"/>
          <w:szCs w:val="20"/>
        </w:rPr>
        <w:t xml:space="preserve">Illustrative text: “Where a rule admits of no exception, the regulated entity must enforce it at a control point through which the relevant transaction necessarily passes, such that the prohibited outcome cannot occur, independently of any instruction given to a model or person. An instruction to a model does not satisfy this requirement.”</w:t>
      </w:r>
    </w:p>
    <w:p>
      <w:pPr>
        <w:pStyle w:val="Heading3"/>
        <w:spacing w:after="70" w:before="160"/>
      </w:pPr>
      <w:r>
        <w:rPr>
          <w:b/>
          <w:bCs/>
          <w:color w:val="57534A"/>
          <w:sz w:val="20"/>
          <w:szCs w:val="20"/>
        </w:rPr>
        <w:t xml:space="preserve">Pattern 2 — require evidence by construction</w:t>
      </w:r>
    </w:p>
    <w:p>
      <w:pPr>
        <w:spacing w:after="110" w:line="276"/>
      </w:pPr>
      <w:r>
        <w:rPr>
          <w:color w:val="1B1A18"/>
          <w:sz w:val="20"/>
          <w:szCs w:val="20"/>
        </w:rPr>
        <w:t xml:space="preserve">Illustrative text: “For each in-scope transaction, the entity must be able to produce, on demand and by query, a complete attribution — including the identity of the acting participant, the control applied, and the version of the rule in force at the time — without reconstruction. Evidence assembled after the fact does not satisfy this requirement.”</w:t>
      </w:r>
    </w:p>
    <w:p>
      <w:pPr>
        <w:pStyle w:val="Heading3"/>
        <w:spacing w:after="70" w:before="160"/>
      </w:pPr>
      <w:r>
        <w:rPr>
          <w:b/>
          <w:bCs/>
          <w:color w:val="57534A"/>
          <w:sz w:val="20"/>
          <w:szCs w:val="20"/>
        </w:rPr>
        <w:t xml:space="preserve">Pattern 3 — require a dependency census and substitution plan</w:t>
      </w:r>
    </w:p>
    <w:p>
      <w:pPr>
        <w:spacing w:after="110" w:line="276"/>
      </w:pPr>
      <w:r>
        <w:rPr>
          <w:color w:val="1B1A18"/>
          <w:sz w:val="20"/>
          <w:szCs w:val="20"/>
        </w:rPr>
        <w:t xml:space="preserve">Illustrative text: “The entity must maintain a current census of the providers, models, and jurisdictions on which continued compliance depends, and, for each dependency identified as material, a documented plan for continued compliance in the event of its withdrawal or unilateral change.”</w:t>
      </w:r>
    </w:p>
    <w:p>
      <w:pPr>
        <w:pStyle w:val="Heading3"/>
        <w:spacing w:after="70" w:before="160"/>
      </w:pPr>
      <w:r>
        <w:rPr>
          <w:b/>
          <w:bCs/>
          <w:color w:val="57534A"/>
          <w:sz w:val="20"/>
          <w:szCs w:val="20"/>
        </w:rPr>
        <w:t xml:space="preserve">Pattern 4 — require independent trustworthiness of records used as evidence</w:t>
      </w:r>
    </w:p>
    <w:p>
      <w:pPr>
        <w:spacing w:after="110" w:line="276"/>
      </w:pPr>
      <w:r>
        <w:rPr>
          <w:color w:val="1B1A18"/>
          <w:sz w:val="20"/>
          <w:szCs w:val="20"/>
        </w:rPr>
        <w:t xml:space="preserve">Illustrative text: “A record relied upon as evidence of compliance must be capable of independent verification and must not depend for its integrity solely on the assurance of the party relying on it.”</w:t>
      </w:r>
    </w:p>
    <w:p>
      <w:pPr>
        <w:spacing w:after="110" w:line="276"/>
      </w:pPr>
      <w:r>
        <w:rPr>
          <w:i/>
          <w:iCs/>
          <w:color w:val="6E6A62"/>
          <w:sz w:val="20"/>
          <w:szCs w:val="20"/>
        </w:rPr>
        <w:t xml:space="preserve">Test each draft against Part C: a standard is only as good as the demonstration you can demand under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Regulators’ Seminar · educational,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Casebook &amp; Standards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Regulators’ Seminar — Casebook &amp; Standards Reader</dc:title>
  <dc:creator>MudoZangl — Regulators' seminar materials</dc:creator>
  <cp:lastModifiedBy>Un-named</cp:lastModifiedBy>
  <cp:revision>1</cp:revision>
  <dcterms:created xsi:type="dcterms:W3CDTF">2026-08-17T06:57:08.581Z</dcterms:created>
  <dcterms:modified xsi:type="dcterms:W3CDTF">2026-08-17T06:57:08.581Z</dcterms:modified>
</cp:coreProperties>
</file>

<file path=docProps/custom.xml><?xml version="1.0" encoding="utf-8"?>
<Properties xmlns="http://schemas.openxmlformats.org/officeDocument/2006/custom-properties" xmlns:vt="http://schemas.openxmlformats.org/officeDocument/2006/docPropsVTypes"/>
</file>