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60"/>
      </w:pPr>
      <w:r>
        <w:rPr>
          <w:b/>
          <w:bCs/>
          <w:caps/>
          <w:color w:val="33302B"/>
          <w:spacing w:val="40"/>
          <w:sz w:val="21"/>
          <w:szCs w:val="21"/>
        </w:rPr>
        <w:t xml:space="preserve">Compact seminar</w:t>
      </w:r>
    </w:p>
    <w:p>
      <w:pPr>
        <w:pBdr>
          <w:bottom w:val="single" w:color="33302B" w:sz="12"/>
        </w:pBdr>
        <w:spacing w:after="120"/>
      </w:pPr>
      <w:r>
        <w:rPr>
          <w:b/>
          <w:bCs/>
          <w:color w:val="1B1A18"/>
          <w:sz w:val="43"/>
          <w:szCs w:val="43"/>
        </w:rPr>
        <w:t xml:space="preserve">Regulating the Agentic Enterprise</w:t>
      </w:r>
    </w:p>
    <w:p>
      <w:pPr>
        <w:spacing w:after="260" w:before="140"/>
      </w:pPr>
      <w:r>
        <w:rPr>
          <w:i/>
          <w:iCs/>
          <w:color w:val="6E6A62"/>
          <w:sz w:val="22"/>
          <w:szCs w:val="22"/>
        </w:rPr>
        <w:t xml:space="preserve">Standards, Evidence, and Supervision When Machines Act for Institutions</w:t>
      </w:r>
    </w:p>
    <w:p>
      <w:pPr>
        <w:spacing w:after="40" w:line="276"/>
      </w:pPr>
      <w:r>
        <w:rPr>
          <w:b/>
          <w:bCs/>
          <w:color w:val="1B1A18"/>
          <w:sz w:val="20"/>
          <w:szCs w:val="20"/>
        </w:rPr>
        <w:t xml:space="preserve">Seminar: </w:t>
      </w:r>
      <w:r>
        <w:rPr>
          <w:color w:val="1B1A18"/>
          <w:sz w:val="20"/>
          <w:szCs w:val="20"/>
        </w:rPr>
        <w:t xml:space="preserve">Regulating the Agentic Enterprise (for regulators &amp; policy staff)</w:t>
      </w:r>
    </w:p>
    <w:p>
      <w:pPr>
        <w:spacing w:after="40" w:line="276"/>
      </w:pPr>
      <w:r>
        <w:rPr>
          <w:b/>
          <w:bCs/>
          <w:color w:val="1B1A18"/>
          <w:sz w:val="20"/>
          <w:szCs w:val="20"/>
        </w:rPr>
        <w:t xml:space="preserve">Source text: </w:t>
      </w:r>
      <w:r>
        <w:rPr>
          <w:i/>
          <w:iCs/>
          <w:color w:val="1B1A18"/>
          <w:sz w:val="20"/>
          <w:szCs w:val="20"/>
        </w:rPr>
        <w:t xml:space="preserve">What the Structure Does Not Carry</w:t>
      </w:r>
      <w:r>
        <w:rPr>
          <w:color w:val="1B1A18"/>
          <w:sz w:val="20"/>
          <w:szCs w:val="20"/>
        </w:rPr>
        <w:t xml:space="preserve"> — Georg Zangl (2026)</w:t>
      </w:r>
    </w:p>
    <w:p>
      <w:pPr>
        <w:spacing w:after="220" w:line="276"/>
      </w:pPr>
      <w:r>
        <w:rPr>
          <w:b/>
          <w:bCs/>
          <w:color w:val="1B1A18"/>
          <w:sz w:val="20"/>
          <w:szCs w:val="20"/>
        </w:rPr>
        <w:t xml:space="preserve">Facilitator: </w:t>
      </w:r>
      <w:r>
        <w:rPr>
          <w:color w:val="1B1A18"/>
          <w:sz w:val="20"/>
          <w:szCs w:val="20"/>
        </w:rPr>
        <w:t xml:space="preserve">[Facilitator name]     </w:t>
      </w:r>
      <w:r>
        <w:rPr>
          <w:b/>
          <w:bCs/>
          <w:color w:val="1B1A18"/>
          <w:sz w:val="20"/>
          <w:szCs w:val="20"/>
        </w:rPr>
        <w:t xml:space="preserve">Session: </w:t>
      </w:r>
      <w:r>
        <w:rPr>
          <w:color w:val="1B1A18"/>
          <w:sz w:val="20"/>
          <w:szCs w:val="20"/>
        </w:rPr>
        <w:t xml:space="preserve">[Date / venue]</w:t>
      </w:r>
    </w:p>
    <w:p>
      <w:pPr>
        <w:pBdr>
          <w:top w:val="single" w:color="D6D2C9" w:sz="4"/>
          <w:bottom w:val="single" w:color="D6D2C9" w:sz="4"/>
          <w:left w:val="single" w:color="8A8378" w:sz="12"/>
          <w:right w:val="single" w:color="D6D2C9" w:sz="4"/>
        </w:pBdr>
        <w:spacing w:after="200" w:before="60" w:line="264"/>
        <w:ind w:left="160" w:right="160"/>
      </w:pPr>
      <w:r>
        <w:rPr>
          <w:b/>
          <w:bCs/>
          <w:color w:val="8A8378"/>
          <w:sz w:val="18"/>
          <w:szCs w:val="18"/>
        </w:rPr>
        <w:t xml:space="preserve">Educational material — not legal advice.  </w:t>
      </w:r>
      <w:r>
        <w:rPr>
          <w:color w:val="1B1A18"/>
          <w:sz w:val="17"/>
          <w:szCs w:val="17"/>
        </w:rPr>
        <w:t xml:space="preserve">This seminar applies an analytical framework (from the book) to supervisory practice. It is not legal advice and does not state the law of any jurisdiction. Case summaries are simplified for teaching; verify every standard, citation, and figure against current primary sources and the law in force in your jurisdiction before relying on it. Figures are stated as at mid-2026 and will age.</w:t>
      </w:r>
    </w:p>
    <w:p>
      <w:pPr>
        <w:pStyle w:val="Heading1"/>
        <w:spacing w:after="130" w:before="300"/>
      </w:pPr>
      <w:r>
        <w:rPr>
          <w:b/>
          <w:bCs/>
          <w:color w:val="33302B"/>
          <w:sz w:val="29"/>
          <w:szCs w:val="29"/>
        </w:rPr>
        <w:t xml:space="preserve">Seminar at a glance</w:t>
      </w:r>
    </w:p>
    <w:tbl>
      <w:tblPr>
        <w:tblW w:type="dxa" w:w="10080"/>
        <w:tblBorders>
          <w:top w:val="single" w:color="D6D2C9" w:sz="4"/>
          <w:left w:val="single" w:color="D6D2C9" w:sz="4"/>
          <w:bottom w:val="single" w:color="D6D2C9" w:sz="4"/>
          <w:right w:val="single" w:color="D6D2C9" w:sz="4"/>
          <w:insideH w:val="single" w:color="D6D2C9" w:sz="4"/>
          <w:insideV w:val="single" w:color="D6D2C9" w:sz="4"/>
        </w:tblBorders>
      </w:tblPr>
      <w:tblGrid>
        <w:gridCol w:w="2600"/>
        <w:gridCol w:w="7480"/>
      </w:tblGrid>
      <w:tr>
        <w:trPr>
          <w:tblHeader/>
        </w:trPr>
        <w:tc>
          <w:tcPr>
            <w:tcW w:type="dxa" w:w="2600"/>
            <w:shd w:fill="33302B" w:color="auto" w:val="clear"/>
            <w:tcMar>
              <w:top w:type="dxa" w:w="55"/>
              <w:left w:type="dxa" w:w="90"/>
              <w:bottom w:type="dxa" w:w="55"/>
              <w:right w:type="dxa" w:w="90"/>
            </w:tcMar>
          </w:tcPr>
          <w:p>
            <w:pPr>
              <w:spacing w:after="0" w:line="248"/>
            </w:pPr>
            <w:r>
              <w:rPr>
                <w:b/>
                <w:bCs/>
                <w:color w:val="FFFFFF"/>
                <w:sz w:val="17"/>
                <w:szCs w:val="17"/>
              </w:rPr>
              <w:t xml:space="preserve">Field</w:t>
            </w:r>
          </w:p>
        </w:tc>
        <w:tc>
          <w:tcPr>
            <w:tcW w:type="dxa" w:w="7480"/>
            <w:shd w:fill="33302B" w:color="auto" w:val="clear"/>
            <w:tcMar>
              <w:top w:type="dxa" w:w="55"/>
              <w:left w:type="dxa" w:w="90"/>
              <w:bottom w:type="dxa" w:w="55"/>
              <w:right w:type="dxa" w:w="90"/>
            </w:tcMar>
          </w:tcPr>
          <w:p>
            <w:pPr>
              <w:spacing w:after="0" w:line="248"/>
            </w:pPr>
            <w:r>
              <w:rPr>
                <w:b/>
                <w:bCs/>
                <w:color w:val="FFFFFF"/>
                <w:sz w:val="17"/>
                <w:szCs w:val="17"/>
              </w:rPr>
              <w:t xml:space="preserve">Detail</w:t>
            </w:r>
          </w:p>
        </w:tc>
      </w:tr>
      <w:tr>
        <w:tc>
          <w:tcPr>
            <w:tcW w:type="dxa" w:w="2600"/>
            <w:shd w:fill="FFFFFF" w:color="auto" w:val="clear"/>
            <w:tcMar>
              <w:top w:type="dxa" w:w="55"/>
              <w:left w:type="dxa" w:w="90"/>
              <w:bottom w:type="dxa" w:w="55"/>
              <w:right w:type="dxa" w:w="90"/>
            </w:tcMar>
          </w:tcPr>
          <w:p>
            <w:pPr>
              <w:spacing w:after="0" w:line="248"/>
            </w:pPr>
            <w:r>
              <w:rPr>
                <w:color w:val="1B1A18"/>
                <w:sz w:val="17"/>
                <w:szCs w:val="17"/>
              </w:rPr>
              <w:t xml:space="preserve">Audience</w:t>
            </w:r>
          </w:p>
        </w:tc>
        <w:tc>
          <w:tcPr>
            <w:tcW w:type="dxa" w:w="7480"/>
            <w:shd w:fill="FFFFFF" w:color="auto" w:val="clear"/>
            <w:tcMar>
              <w:top w:type="dxa" w:w="55"/>
              <w:left w:type="dxa" w:w="90"/>
              <w:bottom w:type="dxa" w:w="55"/>
              <w:right w:type="dxa" w:w="90"/>
            </w:tcMar>
          </w:tcPr>
          <w:p>
            <w:pPr>
              <w:spacing w:after="0" w:line="248"/>
            </w:pPr>
            <w:r>
              <w:rPr>
                <w:color w:val="1B1A18"/>
                <w:sz w:val="17"/>
                <w:szCs w:val="17"/>
              </w:rPr>
              <w:t xml:space="preserve">Regulators, supervisors, and policy staff (financial, data-protection, sectoral, and cross-government)</w:t>
            </w:r>
          </w:p>
        </w:tc>
      </w:tr>
      <w:tr>
        <w:tc>
          <w:tcPr>
            <w:tcW w:type="dxa" w:w="2600"/>
            <w:shd w:fill="F4F2EE" w:color="auto" w:val="clear"/>
            <w:tcMar>
              <w:top w:type="dxa" w:w="55"/>
              <w:left w:type="dxa" w:w="90"/>
              <w:bottom w:type="dxa" w:w="55"/>
              <w:right w:type="dxa" w:w="90"/>
            </w:tcMar>
          </w:tcPr>
          <w:p>
            <w:pPr>
              <w:spacing w:after="0" w:line="248"/>
            </w:pPr>
            <w:r>
              <w:rPr>
                <w:color w:val="1B1A18"/>
                <w:sz w:val="17"/>
                <w:szCs w:val="17"/>
              </w:rPr>
              <w:t xml:space="preserve">Format</w:t>
            </w:r>
          </w:p>
        </w:tc>
        <w:tc>
          <w:tcPr>
            <w:tcW w:type="dxa" w:w="7480"/>
            <w:shd w:fill="F4F2EE" w:color="auto" w:val="clear"/>
            <w:tcMar>
              <w:top w:type="dxa" w:w="55"/>
              <w:left w:type="dxa" w:w="90"/>
              <w:bottom w:type="dxa" w:w="55"/>
              <w:right w:type="dxa" w:w="90"/>
            </w:tcMar>
          </w:tcPr>
          <w:p>
            <w:pPr>
              <w:spacing w:after="0" w:line="248"/>
            </w:pPr>
            <w:r>
              <w:rPr>
                <w:color w:val="1B1A18"/>
                <w:sz w:val="17"/>
                <w:szCs w:val="17"/>
              </w:rPr>
              <w:t xml:space="preserve">Six modules — deliverable as one full day, two half-days, or a short course</w:t>
            </w:r>
          </w:p>
        </w:tc>
      </w:tr>
      <w:tr>
        <w:tc>
          <w:tcPr>
            <w:tcW w:type="dxa" w:w="2600"/>
            <w:shd w:fill="FFFFFF" w:color="auto" w:val="clear"/>
            <w:tcMar>
              <w:top w:type="dxa" w:w="55"/>
              <w:left w:type="dxa" w:w="90"/>
              <w:bottom w:type="dxa" w:w="55"/>
              <w:right w:type="dxa" w:w="90"/>
            </w:tcMar>
          </w:tcPr>
          <w:p>
            <w:pPr>
              <w:spacing w:after="0" w:line="248"/>
            </w:pPr>
            <w:r>
              <w:rPr>
                <w:color w:val="1B1A18"/>
                <w:sz w:val="17"/>
                <w:szCs w:val="17"/>
              </w:rPr>
              <w:t xml:space="preserve">Style</w:t>
            </w:r>
          </w:p>
        </w:tc>
        <w:tc>
          <w:tcPr>
            <w:tcW w:type="dxa" w:w="7480"/>
            <w:shd w:fill="FFFFFF" w:color="auto" w:val="clear"/>
            <w:tcMar>
              <w:top w:type="dxa" w:w="55"/>
              <w:left w:type="dxa" w:w="90"/>
              <w:bottom w:type="dxa" w:w="55"/>
              <w:right w:type="dxa" w:w="90"/>
            </w:tcMar>
          </w:tcPr>
          <w:p>
            <w:pPr>
              <w:spacing w:after="0" w:line="248"/>
            </w:pPr>
            <w:r>
              <w:rPr>
                <w:color w:val="1B1A18"/>
                <w:sz w:val="17"/>
                <w:szCs w:val="17"/>
              </w:rPr>
              <w:t xml:space="preserve">Framework + real enforcement records + ‘for the standard’ working discussions</w:t>
            </w:r>
          </w:p>
        </w:tc>
      </w:tr>
      <w:tr>
        <w:tc>
          <w:tcPr>
            <w:tcW w:type="dxa" w:w="2600"/>
            <w:shd w:fill="F4F2EE" w:color="auto" w:val="clear"/>
            <w:tcMar>
              <w:top w:type="dxa" w:w="55"/>
              <w:left w:type="dxa" w:w="90"/>
              <w:bottom w:type="dxa" w:w="55"/>
              <w:right w:type="dxa" w:w="90"/>
            </w:tcMar>
          </w:tcPr>
          <w:p>
            <w:pPr>
              <w:spacing w:after="0" w:line="248"/>
            </w:pPr>
            <w:r>
              <w:rPr>
                <w:color w:val="1B1A18"/>
                <w:sz w:val="17"/>
                <w:szCs w:val="17"/>
              </w:rPr>
              <w:t xml:space="preserve">Prerequisites</w:t>
            </w:r>
          </w:p>
        </w:tc>
        <w:tc>
          <w:tcPr>
            <w:tcW w:type="dxa" w:w="7480"/>
            <w:shd w:fill="F4F2EE" w:color="auto" w:val="clear"/>
            <w:tcMar>
              <w:top w:type="dxa" w:w="55"/>
              <w:left w:type="dxa" w:w="90"/>
              <w:bottom w:type="dxa" w:w="55"/>
              <w:right w:type="dxa" w:w="90"/>
            </w:tcMar>
          </w:tcPr>
          <w:p>
            <w:pPr>
              <w:spacing w:after="0" w:line="248"/>
            </w:pPr>
            <w:r>
              <w:rPr>
                <w:color w:val="1B1A18"/>
                <w:sz w:val="17"/>
                <w:szCs w:val="17"/>
              </w:rPr>
              <w:t xml:space="preserve">None. No technical or coding background assumed</w:t>
            </w:r>
          </w:p>
        </w:tc>
      </w:tr>
      <w:tr>
        <w:tc>
          <w:tcPr>
            <w:tcW w:type="dxa" w:w="2600"/>
            <w:shd w:fill="FFFFFF" w:color="auto" w:val="clear"/>
            <w:tcMar>
              <w:top w:type="dxa" w:w="55"/>
              <w:left w:type="dxa" w:w="90"/>
              <w:bottom w:type="dxa" w:w="55"/>
              <w:right w:type="dxa" w:w="90"/>
            </w:tcMar>
          </w:tcPr>
          <w:p>
            <w:pPr>
              <w:spacing w:after="0" w:line="248"/>
            </w:pPr>
            <w:r>
              <w:rPr>
                <w:color w:val="1B1A18"/>
                <w:sz w:val="17"/>
                <w:szCs w:val="17"/>
              </w:rPr>
              <w:t xml:space="preserve">Materials</w:t>
            </w:r>
          </w:p>
        </w:tc>
        <w:tc>
          <w:tcPr>
            <w:tcW w:type="dxa" w:w="7480"/>
            <w:shd w:fill="FFFFFF" w:color="auto" w:val="clear"/>
            <w:tcMar>
              <w:top w:type="dxa" w:w="55"/>
              <w:left w:type="dxa" w:w="90"/>
              <w:bottom w:type="dxa" w:w="55"/>
              <w:right w:type="dxa" w:w="90"/>
            </w:tcMar>
          </w:tcPr>
          <w:p>
            <w:pPr>
              <w:spacing w:after="0" w:line="248"/>
            </w:pPr>
            <w:r>
              <w:rPr>
                <w:color w:val="1B1A18"/>
                <w:sz w:val="17"/>
                <w:szCs w:val="17"/>
              </w:rPr>
              <w:t xml:space="preserve">This syllabus; the slides; the Regulatory Casebook &amp; Standards Reader; the Evidence Base file (external figures, CCAF 2026); the book (recommended)</w:t>
            </w:r>
          </w:p>
        </w:tc>
      </w:tr>
      <w:tr>
        <w:tc>
          <w:tcPr>
            <w:tcW w:type="dxa" w:w="2600"/>
            <w:shd w:fill="F4F2EE" w:color="auto" w:val="clear"/>
            <w:tcMar>
              <w:top w:type="dxa" w:w="55"/>
              <w:left w:type="dxa" w:w="90"/>
              <w:bottom w:type="dxa" w:w="55"/>
              <w:right w:type="dxa" w:w="90"/>
            </w:tcMar>
          </w:tcPr>
          <w:p>
            <w:pPr>
              <w:spacing w:after="0" w:line="248"/>
            </w:pPr>
            <w:r>
              <w:rPr>
                <w:color w:val="1B1A18"/>
                <w:sz w:val="17"/>
                <w:szCs w:val="17"/>
              </w:rPr>
              <w:t xml:space="preserve">Facilitator</w:t>
            </w:r>
          </w:p>
        </w:tc>
        <w:tc>
          <w:tcPr>
            <w:tcW w:type="dxa" w:w="7480"/>
            <w:shd w:fill="F4F2EE" w:color="auto" w:val="clear"/>
            <w:tcMar>
              <w:top w:type="dxa" w:w="55"/>
              <w:left w:type="dxa" w:w="90"/>
              <w:bottom w:type="dxa" w:w="55"/>
              <w:right w:type="dxa" w:w="90"/>
            </w:tcMar>
          </w:tcPr>
          <w:p>
            <w:pPr>
              <w:spacing w:after="0" w:line="248"/>
            </w:pPr>
            <w:r>
              <w:rPr>
                <w:color w:val="1B1A18"/>
                <w:sz w:val="17"/>
                <w:szCs w:val="17"/>
              </w:rPr>
              <w:t xml:space="preserve">[Facilitator name] · [email] · [organisation]</w:t>
            </w:r>
          </w:p>
        </w:tc>
      </w:tr>
    </w:tbl>
    <w:p>
      <w:pPr>
        <w:pStyle w:val="Heading1"/>
        <w:spacing w:after="130" w:before="300"/>
      </w:pPr>
      <w:r>
        <w:rPr>
          <w:b/>
          <w:bCs/>
          <w:color w:val="33302B"/>
          <w:sz w:val="29"/>
          <w:szCs w:val="29"/>
        </w:rPr>
        <w:t xml:space="preserve">What the seminar does</w:t>
      </w:r>
    </w:p>
    <w:p>
      <w:pPr>
        <w:spacing w:after="110" w:line="276"/>
      </w:pPr>
      <w:r>
        <w:rPr>
          <w:color w:val="1B1A18"/>
          <w:sz w:val="20"/>
          <w:szCs w:val="20"/>
        </w:rPr>
        <w:t xml:space="preserve">Institutions are deploying agentic AI — participants that act at machine speed while carrying only what their structure hands them. This seminar equips regulators and policy staff to supervise that shift not as a new discipline but as the enforcement of properties the law already cares about: meaning, authority, accountability, evidence, and the consistent application of mandatory rules. Using an analytical framework from the book and a set of real court and regulator decisions, participants learn to translate the framework into supervisory requirements, to write standards that bind a probabilistic system, to know what evidence to demand at examination, and to run a technology-neutral examination protocol that requires no source code and no goodwill — only a demonstration against structure.</w:t>
      </w:r>
    </w:p>
    <w:p>
      <w:pPr>
        <w:pStyle w:val="Heading1"/>
        <w:spacing w:after="130" w:before="300"/>
      </w:pPr>
      <w:r>
        <w:rPr>
          <w:b/>
          <w:bCs/>
          <w:color w:val="33302B"/>
          <w:sz w:val="29"/>
          <w:szCs w:val="29"/>
        </w:rPr>
        <w:t xml:space="preserve">Learning outcomes</w:t>
      </w:r>
    </w:p>
    <w:p>
      <w:pPr>
        <w:spacing w:after="80" w:line="276"/>
      </w:pPr>
      <w:r>
        <w:rPr>
          <w:color w:val="1B1A18"/>
          <w:sz w:val="20"/>
          <w:szCs w:val="20"/>
        </w:rPr>
        <w:t xml:space="preserve">By the close, participants will be able to:</w:t>
      </w:r>
    </w:p>
    <w:p>
      <w:pPr>
        <w:spacing w:after="70" w:line="268"/>
        <w:ind w:left="520" w:hanging="400"/>
      </w:pPr>
      <w:r>
        <w:rPr>
          <w:b/>
          <w:bCs/>
          <w:color w:val="33302B"/>
          <w:sz w:val="20"/>
          <w:szCs w:val="20"/>
        </w:rPr>
        <w:t xml:space="preserve">O1.  </w:t>
      </w:r>
      <w:r>
        <w:rPr>
          <w:color w:val="1B1A18"/>
          <w:sz w:val="20"/>
          <w:szCs w:val="20"/>
        </w:rPr>
        <w:t xml:space="preserve">Frame agentic-AI supervision as continuity with existing obligations, not a novel regime.</w:t>
      </w:r>
    </w:p>
    <w:p>
      <w:pPr>
        <w:spacing w:after="70" w:line="268"/>
        <w:ind w:left="520" w:hanging="400"/>
      </w:pPr>
      <w:r>
        <w:rPr>
          <w:b/>
          <w:bCs/>
          <w:color w:val="33302B"/>
          <w:sz w:val="20"/>
          <w:szCs w:val="20"/>
        </w:rPr>
        <w:t xml:space="preserve">O2.  </w:t>
      </w:r>
      <w:r>
        <w:rPr>
          <w:color w:val="1B1A18"/>
          <w:sz w:val="20"/>
          <w:szCs w:val="20"/>
        </w:rPr>
        <w:t xml:space="preserve">Translate the six conserved properties into supervisory requirements, each with a plain-language test.</w:t>
      </w:r>
    </w:p>
    <w:p>
      <w:pPr>
        <w:spacing w:after="70" w:line="268"/>
        <w:ind w:left="520" w:hanging="400"/>
      </w:pPr>
      <w:r>
        <w:rPr>
          <w:b/>
          <w:bCs/>
          <w:color w:val="33302B"/>
          <w:sz w:val="20"/>
          <w:szCs w:val="20"/>
        </w:rPr>
        <w:t xml:space="preserve">O3.  </w:t>
      </w:r>
      <w:r>
        <w:rPr>
          <w:color w:val="1B1A18"/>
          <w:sz w:val="20"/>
          <w:szCs w:val="20"/>
        </w:rPr>
        <w:t xml:space="preserve">Explain why a modal (‘must/never’) rule cannot be satisfied by a probabilistic model, and locate enforcement in structure.</w:t>
      </w:r>
    </w:p>
    <w:p>
      <w:pPr>
        <w:spacing w:after="70" w:line="268"/>
        <w:ind w:left="520" w:hanging="400"/>
      </w:pPr>
      <w:r>
        <w:rPr>
          <w:b/>
          <w:bCs/>
          <w:color w:val="33302B"/>
          <w:sz w:val="20"/>
          <w:szCs w:val="20"/>
        </w:rPr>
        <w:t xml:space="preserve">O4.  </w:t>
      </w:r>
      <w:r>
        <w:rPr>
          <w:color w:val="1B1A18"/>
          <w:sz w:val="20"/>
          <w:szCs w:val="20"/>
        </w:rPr>
        <w:t xml:space="preserve">Specify the evidence to demand at examination, and apply the last-month test on the spot.</w:t>
      </w:r>
    </w:p>
    <w:p>
      <w:pPr>
        <w:spacing w:after="70" w:line="268"/>
        <w:ind w:left="520" w:hanging="400"/>
      </w:pPr>
      <w:r>
        <w:rPr>
          <w:b/>
          <w:bCs/>
          <w:color w:val="33302B"/>
          <w:sz w:val="20"/>
          <w:szCs w:val="20"/>
        </w:rPr>
        <w:t xml:space="preserve">O5.  </w:t>
      </w:r>
      <w:r>
        <w:rPr>
          <w:color w:val="1B1A18"/>
          <w:sz w:val="20"/>
          <w:szCs w:val="20"/>
        </w:rPr>
        <w:t xml:space="preserve">Assess concentration, cross-border, and isolation exposure with a dependency census and substitution test.</w:t>
      </w:r>
    </w:p>
    <w:p>
      <w:pPr>
        <w:spacing w:after="70" w:line="268"/>
        <w:ind w:left="520" w:hanging="400"/>
      </w:pPr>
      <w:r>
        <w:rPr>
          <w:b/>
          <w:bCs/>
          <w:color w:val="33302B"/>
          <w:sz w:val="20"/>
          <w:szCs w:val="20"/>
        </w:rPr>
        <w:t xml:space="preserve">O6.  </w:t>
      </w:r>
      <w:r>
        <w:rPr>
          <w:color w:val="1B1A18"/>
          <w:sz w:val="20"/>
          <w:szCs w:val="20"/>
        </w:rPr>
        <w:t xml:space="preserve">Run the nine-test examination protocol and turn it into an examination manual or standards checklist.</w:t>
      </w:r>
    </w:p>
    <w:p>
      <w:pPr>
        <w:pStyle w:val="Heading1"/>
        <w:spacing w:after="130" w:before="300"/>
      </w:pPr>
      <w:r>
        <w:rPr>
          <w:b/>
          <w:bCs/>
          <w:color w:val="33302B"/>
          <w:sz w:val="29"/>
          <w:szCs w:val="29"/>
        </w:rPr>
        <w:t xml:space="preserve">Module schedule</w:t>
      </w:r>
    </w:p>
    <w:tbl>
      <w:tblPr>
        <w:tblW w:type="dxa" w:w="10080"/>
        <w:tblBorders>
          <w:top w:val="single" w:color="D6D2C9" w:sz="4"/>
          <w:left w:val="single" w:color="D6D2C9" w:sz="4"/>
          <w:bottom w:val="single" w:color="D6D2C9" w:sz="4"/>
          <w:right w:val="single" w:color="D6D2C9" w:sz="4"/>
          <w:insideH w:val="single" w:color="D6D2C9" w:sz="4"/>
          <w:insideV w:val="single" w:color="D6D2C9" w:sz="4"/>
        </w:tblBorders>
      </w:tblPr>
      <w:tblGrid>
        <w:gridCol w:w="400"/>
        <w:gridCol w:w="3300"/>
        <w:gridCol w:w="1300"/>
        <w:gridCol w:w="2500"/>
        <w:gridCol w:w="2580"/>
      </w:tblGrid>
      <w:tr>
        <w:trPr>
          <w:tblHeader/>
        </w:trPr>
        <w:tc>
          <w:tcPr>
            <w:tcW w:type="dxa" w:w="400"/>
            <w:shd w:fill="33302B" w:color="auto" w:val="clear"/>
            <w:tcMar>
              <w:top w:type="dxa" w:w="55"/>
              <w:left w:type="dxa" w:w="90"/>
              <w:bottom w:type="dxa" w:w="55"/>
              <w:right w:type="dxa" w:w="90"/>
            </w:tcMar>
          </w:tcPr>
          <w:p>
            <w:pPr>
              <w:spacing w:after="0" w:line="248"/>
            </w:pPr>
            <w:r>
              <w:rPr>
                <w:b/>
                <w:bCs/>
                <w:color w:val="FFFFFF"/>
                <w:sz w:val="17"/>
                <w:szCs w:val="17"/>
              </w:rPr>
              <w:t xml:space="preserve">M</w:t>
            </w:r>
          </w:p>
        </w:tc>
        <w:tc>
          <w:tcPr>
            <w:tcW w:type="dxa" w:w="3300"/>
            <w:shd w:fill="33302B" w:color="auto" w:val="clear"/>
            <w:tcMar>
              <w:top w:type="dxa" w:w="55"/>
              <w:left w:type="dxa" w:w="90"/>
              <w:bottom w:type="dxa" w:w="55"/>
              <w:right w:type="dxa" w:w="90"/>
            </w:tcMar>
          </w:tcPr>
          <w:p>
            <w:pPr>
              <w:spacing w:after="0" w:line="248"/>
            </w:pPr>
            <w:r>
              <w:rPr>
                <w:b/>
                <w:bCs/>
                <w:color w:val="FFFFFF"/>
                <w:sz w:val="17"/>
                <w:szCs w:val="17"/>
              </w:rPr>
              <w:t xml:space="preserve">Module</w:t>
            </w:r>
          </w:p>
        </w:tc>
        <w:tc>
          <w:tcPr>
            <w:tcW w:type="dxa" w:w="1300"/>
            <w:shd w:fill="33302B" w:color="auto" w:val="clear"/>
            <w:tcMar>
              <w:top w:type="dxa" w:w="55"/>
              <w:left w:type="dxa" w:w="90"/>
              <w:bottom w:type="dxa" w:w="55"/>
              <w:right w:type="dxa" w:w="90"/>
            </w:tcMar>
          </w:tcPr>
          <w:p>
            <w:pPr>
              <w:spacing w:after="0" w:line="248"/>
            </w:pPr>
            <w:r>
              <w:rPr>
                <w:b/>
                <w:bCs/>
                <w:color w:val="FFFFFF"/>
                <w:sz w:val="17"/>
                <w:szCs w:val="17"/>
              </w:rPr>
              <w:t xml:space="preserve">Reading</w:t>
            </w:r>
          </w:p>
        </w:tc>
        <w:tc>
          <w:tcPr>
            <w:tcW w:type="dxa" w:w="2500"/>
            <w:shd w:fill="33302B" w:color="auto" w:val="clear"/>
            <w:tcMar>
              <w:top w:type="dxa" w:w="55"/>
              <w:left w:type="dxa" w:w="90"/>
              <w:bottom w:type="dxa" w:w="55"/>
              <w:right w:type="dxa" w:w="90"/>
            </w:tcMar>
          </w:tcPr>
          <w:p>
            <w:pPr>
              <w:spacing w:after="0" w:line="248"/>
            </w:pPr>
            <w:r>
              <w:rPr>
                <w:b/>
                <w:bCs/>
                <w:color w:val="FFFFFF"/>
                <w:sz w:val="17"/>
                <w:szCs w:val="17"/>
              </w:rPr>
              <w:t xml:space="preserve">Anchor record</w:t>
            </w:r>
          </w:p>
        </w:tc>
        <w:tc>
          <w:tcPr>
            <w:tcW w:type="dxa" w:w="2580"/>
            <w:shd w:fill="33302B" w:color="auto" w:val="clear"/>
            <w:tcMar>
              <w:top w:type="dxa" w:w="55"/>
              <w:left w:type="dxa" w:w="90"/>
              <w:bottom w:type="dxa" w:w="55"/>
              <w:right w:type="dxa" w:w="90"/>
            </w:tcMar>
          </w:tcPr>
          <w:p>
            <w:pPr>
              <w:spacing w:after="0" w:line="248"/>
            </w:pPr>
            <w:r>
              <w:rPr>
                <w:b/>
                <w:bCs/>
                <w:color w:val="FFFFFF"/>
                <w:sz w:val="17"/>
                <w:szCs w:val="17"/>
              </w:rPr>
              <w:t xml:space="preserve">Working exercise</w:t>
            </w:r>
          </w:p>
        </w:tc>
      </w:tr>
      <w:tr>
        <w:tc>
          <w:tcPr>
            <w:tcW w:type="dxa" w:w="400"/>
            <w:shd w:fill="FFFFFF" w:color="auto" w:val="clear"/>
            <w:tcMar>
              <w:top w:type="dxa" w:w="55"/>
              <w:left w:type="dxa" w:w="90"/>
              <w:bottom w:type="dxa" w:w="55"/>
              <w:right w:type="dxa" w:w="90"/>
            </w:tcMar>
          </w:tcPr>
          <w:p>
            <w:pPr>
              <w:spacing w:after="0" w:line="248"/>
            </w:pPr>
            <w:r>
              <w:rPr>
                <w:color w:val="1B1A18"/>
                <w:sz w:val="17"/>
                <w:szCs w:val="17"/>
              </w:rPr>
              <w:t xml:space="preserve">1</w:t>
            </w:r>
          </w:p>
        </w:tc>
        <w:tc>
          <w:tcPr>
            <w:tcW w:type="dxa" w:w="3300"/>
            <w:shd w:fill="FFFFFF" w:color="auto" w:val="clear"/>
            <w:tcMar>
              <w:top w:type="dxa" w:w="55"/>
              <w:left w:type="dxa" w:w="90"/>
              <w:bottom w:type="dxa" w:w="55"/>
              <w:right w:type="dxa" w:w="90"/>
            </w:tcMar>
          </w:tcPr>
          <w:p>
            <w:pPr>
              <w:spacing w:after="0" w:line="248"/>
            </w:pPr>
            <w:r>
              <w:rPr>
                <w:color w:val="1B1A18"/>
                <w:sz w:val="17"/>
                <w:szCs w:val="17"/>
              </w:rPr>
              <w:t xml:space="preserve">The supervisor’s problem</w:t>
            </w:r>
          </w:p>
        </w:tc>
        <w:tc>
          <w:tcPr>
            <w:tcW w:type="dxa" w:w="1300"/>
            <w:shd w:fill="FFFFFF" w:color="auto" w:val="clear"/>
            <w:tcMar>
              <w:top w:type="dxa" w:w="55"/>
              <w:left w:type="dxa" w:w="90"/>
              <w:bottom w:type="dxa" w:w="55"/>
              <w:right w:type="dxa" w:w="90"/>
            </w:tcMar>
          </w:tcPr>
          <w:p>
            <w:pPr>
              <w:spacing w:after="0" w:line="248"/>
            </w:pPr>
            <w:r>
              <w:rPr>
                <w:color w:val="1B1A18"/>
                <w:sz w:val="17"/>
                <w:szCs w:val="17"/>
              </w:rPr>
              <w:t xml:space="preserve">Ch. 1–3</w:t>
            </w:r>
          </w:p>
        </w:tc>
        <w:tc>
          <w:tcPr>
            <w:tcW w:type="dxa" w:w="2500"/>
            <w:shd w:fill="FFFFFF" w:color="auto" w:val="clear"/>
            <w:tcMar>
              <w:top w:type="dxa" w:w="55"/>
              <w:left w:type="dxa" w:w="90"/>
              <w:bottom w:type="dxa" w:w="55"/>
              <w:right w:type="dxa" w:w="90"/>
            </w:tcMar>
          </w:tcPr>
          <w:p>
            <w:pPr>
              <w:spacing w:after="0" w:line="248"/>
            </w:pPr>
            <w:r>
              <w:rPr>
                <w:color w:val="1B1A18"/>
                <w:sz w:val="17"/>
                <w:szCs w:val="17"/>
              </w:rPr>
              <w:t xml:space="preserve">Failure statistics; systemic signal</w:t>
            </w:r>
          </w:p>
        </w:tc>
        <w:tc>
          <w:tcPr>
            <w:tcW w:type="dxa" w:w="2580"/>
            <w:shd w:fill="FFFFFF" w:color="auto" w:val="clear"/>
            <w:tcMar>
              <w:top w:type="dxa" w:w="55"/>
              <w:left w:type="dxa" w:w="90"/>
              <w:bottom w:type="dxa" w:w="55"/>
              <w:right w:type="dxa" w:w="90"/>
            </w:tcMar>
          </w:tcPr>
          <w:p>
            <w:pPr>
              <w:spacing w:after="0" w:line="248"/>
            </w:pPr>
            <w:r>
              <w:rPr>
                <w:color w:val="1B1A18"/>
                <w:sz w:val="17"/>
                <w:szCs w:val="17"/>
              </w:rPr>
              <w:t xml:space="preserve">Which existing duties already bind?</w:t>
            </w:r>
          </w:p>
        </w:tc>
      </w:tr>
      <w:tr>
        <w:tc>
          <w:tcPr>
            <w:tcW w:type="dxa" w:w="400"/>
            <w:shd w:fill="F4F2EE" w:color="auto" w:val="clear"/>
            <w:tcMar>
              <w:top w:type="dxa" w:w="55"/>
              <w:left w:type="dxa" w:w="90"/>
              <w:bottom w:type="dxa" w:w="55"/>
              <w:right w:type="dxa" w:w="90"/>
            </w:tcMar>
          </w:tcPr>
          <w:p>
            <w:pPr>
              <w:spacing w:after="0" w:line="248"/>
            </w:pPr>
            <w:r>
              <w:rPr>
                <w:color w:val="1B1A18"/>
                <w:sz w:val="17"/>
                <w:szCs w:val="17"/>
              </w:rPr>
              <w:t xml:space="preserve">2</w:t>
            </w:r>
          </w:p>
        </w:tc>
        <w:tc>
          <w:tcPr>
            <w:tcW w:type="dxa" w:w="3300"/>
            <w:shd w:fill="F4F2EE" w:color="auto" w:val="clear"/>
            <w:tcMar>
              <w:top w:type="dxa" w:w="55"/>
              <w:left w:type="dxa" w:w="90"/>
              <w:bottom w:type="dxa" w:w="55"/>
              <w:right w:type="dxa" w:w="90"/>
            </w:tcMar>
          </w:tcPr>
          <w:p>
            <w:pPr>
              <w:spacing w:after="0" w:line="248"/>
            </w:pPr>
            <w:r>
              <w:rPr>
                <w:color w:val="1B1A18"/>
                <w:sz w:val="17"/>
                <w:szCs w:val="17"/>
              </w:rPr>
              <w:t xml:space="preserve">Six properties as supervisory requirements</w:t>
            </w:r>
          </w:p>
        </w:tc>
        <w:tc>
          <w:tcPr>
            <w:tcW w:type="dxa" w:w="1300"/>
            <w:shd w:fill="F4F2EE" w:color="auto" w:val="clear"/>
            <w:tcMar>
              <w:top w:type="dxa" w:w="55"/>
              <w:left w:type="dxa" w:w="90"/>
              <w:bottom w:type="dxa" w:w="55"/>
              <w:right w:type="dxa" w:w="90"/>
            </w:tcMar>
          </w:tcPr>
          <w:p>
            <w:pPr>
              <w:spacing w:after="0" w:line="248"/>
            </w:pPr>
            <w:r>
              <w:rPr>
                <w:color w:val="1B1A18"/>
                <w:sz w:val="17"/>
                <w:szCs w:val="17"/>
              </w:rPr>
              <w:t xml:space="preserve">Ch. 4</w:t>
            </w:r>
          </w:p>
        </w:tc>
        <w:tc>
          <w:tcPr>
            <w:tcW w:type="dxa" w:w="2500"/>
            <w:shd w:fill="F4F2EE" w:color="auto" w:val="clear"/>
            <w:tcMar>
              <w:top w:type="dxa" w:w="55"/>
              <w:left w:type="dxa" w:w="90"/>
              <w:bottom w:type="dxa" w:w="55"/>
              <w:right w:type="dxa" w:w="90"/>
            </w:tcMar>
          </w:tcPr>
          <w:p>
            <w:pPr>
              <w:spacing w:after="0" w:line="248"/>
            </w:pPr>
            <w:r>
              <w:rPr>
                <w:color w:val="1B1A18"/>
                <w:sz w:val="17"/>
                <w:szCs w:val="17"/>
              </w:rPr>
              <w:t xml:space="preserve">Air Canada / Moffatt</w:t>
            </w:r>
          </w:p>
        </w:tc>
        <w:tc>
          <w:tcPr>
            <w:tcW w:type="dxa" w:w="2580"/>
            <w:shd w:fill="F4F2EE" w:color="auto" w:val="clear"/>
            <w:tcMar>
              <w:top w:type="dxa" w:w="55"/>
              <w:left w:type="dxa" w:w="90"/>
              <w:bottom w:type="dxa" w:w="55"/>
              <w:right w:type="dxa" w:w="90"/>
            </w:tcMar>
          </w:tcPr>
          <w:p>
            <w:pPr>
              <w:spacing w:after="0" w:line="248"/>
            </w:pPr>
            <w:r>
              <w:rPr>
                <w:color w:val="1B1A18"/>
                <w:sz w:val="17"/>
                <w:szCs w:val="17"/>
              </w:rPr>
              <w:t xml:space="preserve">Rewrite a rule as a property requirement</w:t>
            </w:r>
          </w:p>
        </w:tc>
      </w:tr>
      <w:tr>
        <w:tc>
          <w:tcPr>
            <w:tcW w:type="dxa" w:w="400"/>
            <w:shd w:fill="FFFFFF" w:color="auto" w:val="clear"/>
            <w:tcMar>
              <w:top w:type="dxa" w:w="55"/>
              <w:left w:type="dxa" w:w="90"/>
              <w:bottom w:type="dxa" w:w="55"/>
              <w:right w:type="dxa" w:w="90"/>
            </w:tcMar>
          </w:tcPr>
          <w:p>
            <w:pPr>
              <w:spacing w:after="0" w:line="248"/>
            </w:pPr>
            <w:r>
              <w:rPr>
                <w:color w:val="1B1A18"/>
                <w:sz w:val="17"/>
                <w:szCs w:val="17"/>
              </w:rPr>
              <w:t xml:space="preserve">3</w:t>
            </w:r>
          </w:p>
        </w:tc>
        <w:tc>
          <w:tcPr>
            <w:tcW w:type="dxa" w:w="3300"/>
            <w:shd w:fill="FFFFFF" w:color="auto" w:val="clear"/>
            <w:tcMar>
              <w:top w:type="dxa" w:w="55"/>
              <w:left w:type="dxa" w:w="90"/>
              <w:bottom w:type="dxa" w:w="55"/>
              <w:right w:type="dxa" w:w="90"/>
            </w:tcMar>
          </w:tcPr>
          <w:p>
            <w:pPr>
              <w:spacing w:after="0" w:line="248"/>
            </w:pPr>
            <w:r>
              <w:rPr>
                <w:color w:val="1B1A18"/>
                <w:sz w:val="17"/>
                <w:szCs w:val="17"/>
              </w:rPr>
              <w:t xml:space="preserve">Writing standards that bind</w:t>
            </w:r>
          </w:p>
        </w:tc>
        <w:tc>
          <w:tcPr>
            <w:tcW w:type="dxa" w:w="1300"/>
            <w:shd w:fill="FFFFFF" w:color="auto" w:val="clear"/>
            <w:tcMar>
              <w:top w:type="dxa" w:w="55"/>
              <w:left w:type="dxa" w:w="90"/>
              <w:bottom w:type="dxa" w:w="55"/>
              <w:right w:type="dxa" w:w="90"/>
            </w:tcMar>
          </w:tcPr>
          <w:p>
            <w:pPr>
              <w:spacing w:after="0" w:line="248"/>
            </w:pPr>
            <w:r>
              <w:rPr>
                <w:color w:val="1B1A18"/>
                <w:sz w:val="17"/>
                <w:szCs w:val="17"/>
              </w:rPr>
              <w:t xml:space="preserve">Ch. 5, 9</w:t>
            </w:r>
          </w:p>
        </w:tc>
        <w:tc>
          <w:tcPr>
            <w:tcW w:type="dxa" w:w="2500"/>
            <w:shd w:fill="FFFFFF" w:color="auto" w:val="clear"/>
            <w:tcMar>
              <w:top w:type="dxa" w:w="55"/>
              <w:left w:type="dxa" w:w="90"/>
              <w:bottom w:type="dxa" w:w="55"/>
              <w:right w:type="dxa" w:w="90"/>
            </w:tcMar>
          </w:tcPr>
          <w:p>
            <w:pPr>
              <w:spacing w:after="0" w:line="248"/>
            </w:pPr>
            <w:r>
              <w:rPr>
                <w:color w:val="1B1A18"/>
                <w:sz w:val="17"/>
                <w:szCs w:val="17"/>
              </w:rPr>
              <w:t xml:space="preserve">AUSTRAC v CommBank</w:t>
            </w:r>
          </w:p>
        </w:tc>
        <w:tc>
          <w:tcPr>
            <w:tcW w:type="dxa" w:w="2580"/>
            <w:shd w:fill="FFFFFF" w:color="auto" w:val="clear"/>
            <w:tcMar>
              <w:top w:type="dxa" w:w="55"/>
              <w:left w:type="dxa" w:w="90"/>
              <w:bottom w:type="dxa" w:w="55"/>
              <w:right w:type="dxa" w:w="90"/>
            </w:tcMar>
          </w:tcPr>
          <w:p>
            <w:pPr>
              <w:spacing w:after="0" w:line="248"/>
            </w:pPr>
            <w:r>
              <w:rPr>
                <w:color w:val="1B1A18"/>
                <w:sz w:val="17"/>
                <w:szCs w:val="17"/>
              </w:rPr>
              <w:t xml:space="preserve">Draft a structurally-enforceable rule</w:t>
            </w:r>
          </w:p>
        </w:tc>
      </w:tr>
      <w:tr>
        <w:tc>
          <w:tcPr>
            <w:tcW w:type="dxa" w:w="400"/>
            <w:shd w:fill="F4F2EE" w:color="auto" w:val="clear"/>
            <w:tcMar>
              <w:top w:type="dxa" w:w="55"/>
              <w:left w:type="dxa" w:w="90"/>
              <w:bottom w:type="dxa" w:w="55"/>
              <w:right w:type="dxa" w:w="90"/>
            </w:tcMar>
          </w:tcPr>
          <w:p>
            <w:pPr>
              <w:spacing w:after="0" w:line="248"/>
            </w:pPr>
            <w:r>
              <w:rPr>
                <w:color w:val="1B1A18"/>
                <w:sz w:val="17"/>
                <w:szCs w:val="17"/>
              </w:rPr>
              <w:t xml:space="preserve">4</w:t>
            </w:r>
          </w:p>
        </w:tc>
        <w:tc>
          <w:tcPr>
            <w:tcW w:type="dxa" w:w="3300"/>
            <w:shd w:fill="F4F2EE" w:color="auto" w:val="clear"/>
            <w:tcMar>
              <w:top w:type="dxa" w:w="55"/>
              <w:left w:type="dxa" w:w="90"/>
              <w:bottom w:type="dxa" w:w="55"/>
              <w:right w:type="dxa" w:w="90"/>
            </w:tcMar>
          </w:tcPr>
          <w:p>
            <w:pPr>
              <w:spacing w:after="0" w:line="248"/>
            </w:pPr>
            <w:r>
              <w:rPr>
                <w:color w:val="1B1A18"/>
                <w:sz w:val="17"/>
                <w:szCs w:val="17"/>
              </w:rPr>
              <w:t xml:space="preserve">Evidence and the examination</w:t>
            </w:r>
          </w:p>
        </w:tc>
        <w:tc>
          <w:tcPr>
            <w:tcW w:type="dxa" w:w="1300"/>
            <w:shd w:fill="F4F2EE" w:color="auto" w:val="clear"/>
            <w:tcMar>
              <w:top w:type="dxa" w:w="55"/>
              <w:left w:type="dxa" w:w="90"/>
              <w:bottom w:type="dxa" w:w="55"/>
              <w:right w:type="dxa" w:w="90"/>
            </w:tcMar>
          </w:tcPr>
          <w:p>
            <w:pPr>
              <w:spacing w:after="0" w:line="248"/>
            </w:pPr>
            <w:r>
              <w:rPr>
                <w:color w:val="1B1A18"/>
                <w:sz w:val="17"/>
                <w:szCs w:val="17"/>
              </w:rPr>
              <w:t xml:space="preserve">Ch. 4, 18</w:t>
            </w:r>
          </w:p>
        </w:tc>
        <w:tc>
          <w:tcPr>
            <w:tcW w:type="dxa" w:w="2500"/>
            <w:shd w:fill="F4F2EE" w:color="auto" w:val="clear"/>
            <w:tcMar>
              <w:top w:type="dxa" w:w="55"/>
              <w:left w:type="dxa" w:w="90"/>
              <w:bottom w:type="dxa" w:w="55"/>
              <w:right w:type="dxa" w:w="90"/>
            </w:tcMar>
          </w:tcPr>
          <w:p>
            <w:pPr>
              <w:spacing w:after="0" w:line="248"/>
            </w:pPr>
            <w:r>
              <w:rPr>
                <w:color w:val="1B1A18"/>
                <w:sz w:val="17"/>
                <w:szCs w:val="17"/>
              </w:rPr>
              <w:t xml:space="preserve">Post Office / Horizon</w:t>
            </w:r>
          </w:p>
        </w:tc>
        <w:tc>
          <w:tcPr>
            <w:tcW w:type="dxa" w:w="2580"/>
            <w:shd w:fill="F4F2EE" w:color="auto" w:val="clear"/>
            <w:tcMar>
              <w:top w:type="dxa" w:w="55"/>
              <w:left w:type="dxa" w:w="90"/>
              <w:bottom w:type="dxa" w:w="55"/>
              <w:right w:type="dxa" w:w="90"/>
            </w:tcMar>
          </w:tcPr>
          <w:p>
            <w:pPr>
              <w:spacing w:after="0" w:line="248"/>
            </w:pPr>
            <w:r>
              <w:rPr>
                <w:color w:val="1B1A18"/>
                <w:sz w:val="17"/>
                <w:szCs w:val="17"/>
              </w:rPr>
              <w:t xml:space="preserve">Run the last-month test</w:t>
            </w:r>
          </w:p>
        </w:tc>
      </w:tr>
      <w:tr>
        <w:tc>
          <w:tcPr>
            <w:tcW w:type="dxa" w:w="400"/>
            <w:shd w:fill="FFFFFF" w:color="auto" w:val="clear"/>
            <w:tcMar>
              <w:top w:type="dxa" w:w="55"/>
              <w:left w:type="dxa" w:w="90"/>
              <w:bottom w:type="dxa" w:w="55"/>
              <w:right w:type="dxa" w:w="90"/>
            </w:tcMar>
          </w:tcPr>
          <w:p>
            <w:pPr>
              <w:spacing w:after="0" w:line="248"/>
            </w:pPr>
            <w:r>
              <w:rPr>
                <w:color w:val="1B1A18"/>
                <w:sz w:val="17"/>
                <w:szCs w:val="17"/>
              </w:rPr>
              <w:t xml:space="preserve">5</w:t>
            </w:r>
          </w:p>
        </w:tc>
        <w:tc>
          <w:tcPr>
            <w:tcW w:type="dxa" w:w="3300"/>
            <w:shd w:fill="FFFFFF" w:color="auto" w:val="clear"/>
            <w:tcMar>
              <w:top w:type="dxa" w:w="55"/>
              <w:left w:type="dxa" w:w="90"/>
              <w:bottom w:type="dxa" w:w="55"/>
              <w:right w:type="dxa" w:w="90"/>
            </w:tcMar>
          </w:tcPr>
          <w:p>
            <w:pPr>
              <w:spacing w:after="0" w:line="248"/>
            </w:pPr>
            <w:r>
              <w:rPr>
                <w:color w:val="1B1A18"/>
                <w:sz w:val="17"/>
                <w:szCs w:val="17"/>
              </w:rPr>
              <w:t xml:space="preserve">Sovereignty, jurisdiction &amp; systemic risk</w:t>
            </w:r>
          </w:p>
        </w:tc>
        <w:tc>
          <w:tcPr>
            <w:tcW w:type="dxa" w:w="1300"/>
            <w:shd w:fill="FFFFFF" w:color="auto" w:val="clear"/>
            <w:tcMar>
              <w:top w:type="dxa" w:w="55"/>
              <w:left w:type="dxa" w:w="90"/>
              <w:bottom w:type="dxa" w:w="55"/>
              <w:right w:type="dxa" w:w="90"/>
            </w:tcMar>
          </w:tcPr>
          <w:p>
            <w:pPr>
              <w:spacing w:after="0" w:line="248"/>
            </w:pPr>
            <w:r>
              <w:rPr>
                <w:color w:val="1B1A18"/>
                <w:sz w:val="17"/>
                <w:szCs w:val="17"/>
              </w:rPr>
              <w:t xml:space="preserve">Ch. 16–17</w:t>
            </w:r>
          </w:p>
        </w:tc>
        <w:tc>
          <w:tcPr>
            <w:tcW w:type="dxa" w:w="2500"/>
            <w:shd w:fill="FFFFFF" w:color="auto" w:val="clear"/>
            <w:tcMar>
              <w:top w:type="dxa" w:w="55"/>
              <w:left w:type="dxa" w:w="90"/>
              <w:bottom w:type="dxa" w:w="55"/>
              <w:right w:type="dxa" w:w="90"/>
            </w:tcMar>
          </w:tcPr>
          <w:p>
            <w:pPr>
              <w:spacing w:after="0" w:line="248"/>
            </w:pPr>
            <w:r>
              <w:rPr>
                <w:color w:val="1B1A18"/>
                <w:sz w:val="17"/>
                <w:szCs w:val="17"/>
              </w:rPr>
              <w:t xml:space="preserve">Schrems II; a suspension order</w:t>
            </w:r>
          </w:p>
        </w:tc>
        <w:tc>
          <w:tcPr>
            <w:tcW w:type="dxa" w:w="2580"/>
            <w:shd w:fill="FFFFFF" w:color="auto" w:val="clear"/>
            <w:tcMar>
              <w:top w:type="dxa" w:w="55"/>
              <w:left w:type="dxa" w:w="90"/>
              <w:bottom w:type="dxa" w:w="55"/>
              <w:right w:type="dxa" w:w="90"/>
            </w:tcMar>
          </w:tcPr>
          <w:p>
            <w:pPr>
              <w:spacing w:after="0" w:line="248"/>
            </w:pPr>
            <w:r>
              <w:rPr>
                <w:color w:val="1B1A18"/>
                <w:sz w:val="17"/>
                <w:szCs w:val="17"/>
              </w:rPr>
              <w:t xml:space="preserve">Build a dependency census</w:t>
            </w:r>
          </w:p>
        </w:tc>
      </w:tr>
      <w:tr>
        <w:tc>
          <w:tcPr>
            <w:tcW w:type="dxa" w:w="400"/>
            <w:shd w:fill="F4F2EE" w:color="auto" w:val="clear"/>
            <w:tcMar>
              <w:top w:type="dxa" w:w="55"/>
              <w:left w:type="dxa" w:w="90"/>
              <w:bottom w:type="dxa" w:w="55"/>
              <w:right w:type="dxa" w:w="90"/>
            </w:tcMar>
          </w:tcPr>
          <w:p>
            <w:pPr>
              <w:spacing w:after="0" w:line="248"/>
            </w:pPr>
            <w:r>
              <w:rPr>
                <w:color w:val="1B1A18"/>
                <w:sz w:val="17"/>
                <w:szCs w:val="17"/>
              </w:rPr>
              <w:t xml:space="preserve">6</w:t>
            </w:r>
          </w:p>
        </w:tc>
        <w:tc>
          <w:tcPr>
            <w:tcW w:type="dxa" w:w="3300"/>
            <w:shd w:fill="F4F2EE" w:color="auto" w:val="clear"/>
            <w:tcMar>
              <w:top w:type="dxa" w:w="55"/>
              <w:left w:type="dxa" w:w="90"/>
              <w:bottom w:type="dxa" w:w="55"/>
              <w:right w:type="dxa" w:w="90"/>
            </w:tcMar>
          </w:tcPr>
          <w:p>
            <w:pPr>
              <w:spacing w:after="0" w:line="248"/>
            </w:pPr>
            <w:r>
              <w:rPr>
                <w:color w:val="1B1A18"/>
                <w:sz w:val="17"/>
                <w:szCs w:val="17"/>
              </w:rPr>
              <w:t xml:space="preserve">The supervisory examination protocol</w:t>
            </w:r>
          </w:p>
        </w:tc>
        <w:tc>
          <w:tcPr>
            <w:tcW w:type="dxa" w:w="1300"/>
            <w:shd w:fill="F4F2EE" w:color="auto" w:val="clear"/>
            <w:tcMar>
              <w:top w:type="dxa" w:w="55"/>
              <w:left w:type="dxa" w:w="90"/>
              <w:bottom w:type="dxa" w:w="55"/>
              <w:right w:type="dxa" w:w="90"/>
            </w:tcMar>
          </w:tcPr>
          <w:p>
            <w:pPr>
              <w:spacing w:after="0" w:line="248"/>
            </w:pPr>
            <w:r>
              <w:rPr>
                <w:color w:val="1B1A18"/>
                <w:sz w:val="17"/>
                <w:szCs w:val="17"/>
              </w:rPr>
              <w:t xml:space="preserve">Ch. 22–23</w:t>
            </w:r>
          </w:p>
        </w:tc>
        <w:tc>
          <w:tcPr>
            <w:tcW w:type="dxa" w:w="2500"/>
            <w:shd w:fill="F4F2EE" w:color="auto" w:val="clear"/>
            <w:tcMar>
              <w:top w:type="dxa" w:w="55"/>
              <w:left w:type="dxa" w:w="90"/>
              <w:bottom w:type="dxa" w:w="55"/>
              <w:right w:type="dxa" w:w="90"/>
            </w:tcMar>
          </w:tcPr>
          <w:p>
            <w:pPr>
              <w:spacing w:after="0" w:line="248"/>
            </w:pPr>
            <w:r>
              <w:rPr>
                <w:color w:val="1B1A18"/>
                <w:sz w:val="17"/>
                <w:szCs w:val="17"/>
              </w:rPr>
              <w:t xml:space="preserve">—</w:t>
            </w:r>
          </w:p>
        </w:tc>
        <w:tc>
          <w:tcPr>
            <w:tcW w:type="dxa" w:w="2580"/>
            <w:shd w:fill="F4F2EE" w:color="auto" w:val="clear"/>
            <w:tcMar>
              <w:top w:type="dxa" w:w="55"/>
              <w:left w:type="dxa" w:w="90"/>
              <w:bottom w:type="dxa" w:w="55"/>
              <w:right w:type="dxa" w:w="90"/>
            </w:tcMar>
          </w:tcPr>
          <w:p>
            <w:pPr>
              <w:spacing w:after="0" w:line="248"/>
            </w:pPr>
            <w:r>
              <w:rPr>
                <w:color w:val="1B1A18"/>
                <w:sz w:val="17"/>
                <w:szCs w:val="17"/>
              </w:rPr>
              <w:t xml:space="preserve">Choose your first three tests</w:t>
            </w:r>
          </w:p>
        </w:tc>
      </w:tr>
    </w:tbl>
    <w:p>
      <w:pPr>
        <w:pStyle w:val="Heading1"/>
        <w:spacing w:after="130" w:before="300"/>
      </w:pPr>
      <w:r>
        <w:rPr>
          <w:b/>
          <w:bCs/>
          <w:color w:val="33302B"/>
          <w:sz w:val="29"/>
          <w:szCs w:val="29"/>
        </w:rPr>
        <w:t xml:space="preserve">Participation &amp; follow-through</w:t>
      </w:r>
    </w:p>
    <w:p>
      <w:pPr>
        <w:spacing w:after="110" w:line="276"/>
      </w:pPr>
      <w:r>
        <w:rPr>
          <w:color w:val="1B1A18"/>
          <w:sz w:val="20"/>
          <w:szCs w:val="20"/>
        </w:rPr>
        <w:t xml:space="preserve">The seminar is discussion-based; there is no examination. Each module closes with a short ‘for the standard’ exercise in which participants apply the idea to their own remit. Where the seminar is run for a single authority, the exercises can be threaded into a single deliverable: a draft one-page supervisory expectation or examination-manual excerpt for agentic systems, developed across the day and workshopped at the close.</w:t>
      </w:r>
    </w:p>
    <w:p>
      <w:pPr>
        <w:pStyle w:val="Heading1"/>
        <w:spacing w:after="130" w:before="300"/>
      </w:pPr>
      <w:r>
        <w:rPr>
          <w:b/>
          <w:bCs/>
          <w:color w:val="33302B"/>
          <w:sz w:val="29"/>
          <w:szCs w:val="29"/>
        </w:rPr>
        <w:t xml:space="preserve">Conduct of discussion</w:t>
      </w:r>
    </w:p>
    <w:p>
      <w:pPr>
        <w:spacing w:after="110" w:line="276"/>
      </w:pPr>
      <w:r>
        <w:rPr>
          <w:color w:val="1B1A18"/>
          <w:sz w:val="20"/>
          <w:szCs w:val="20"/>
        </w:rPr>
        <w:t xml:space="preserve">Because participants may reference live supervisory matters, the seminar runs under the Chatham House Rule unless the convening authority directs otherwise: participants may use the information received, but neither the identity nor the affiliation of any speaker may be revealed. Nothing discussed constitutes a supervisory position of any authority.</w:t>
      </w:r>
    </w:p>
    <w:p>
      <w:pPr>
        <w:pStyle w:val="Heading1"/>
        <w:spacing w:after="130" w:before="300"/>
      </w:pPr>
      <w:r>
        <w:rPr>
          <w:b/>
          <w:bCs/>
          <w:color w:val="33302B"/>
          <w:sz w:val="29"/>
          <w:szCs w:val="29"/>
        </w:rPr>
        <w:t xml:space="preserve">Reference — the framework in one page</w:t>
      </w:r>
    </w:p>
    <w:p>
      <w:pPr>
        <w:spacing w:after="110" w:line="276"/>
      </w:pPr>
      <w:r>
        <w:rPr>
          <w:b/>
          <w:bCs/>
          <w:color w:val="1B1A18"/>
          <w:sz w:val="20"/>
          <w:szCs w:val="20"/>
        </w:rPr>
        <w:t xml:space="preserve">The law it applies: </w:t>
      </w:r>
      <w:r>
        <w:rPr>
          <w:color w:val="1B1A18"/>
          <w:sz w:val="20"/>
          <w:szCs w:val="20"/>
        </w:rPr>
        <w:t xml:space="preserve">an institution is a set of properties that must survive as work moves across boundaries (‘crossings’); supervision is ensuring the structure carries them.</w:t>
      </w:r>
    </w:p>
    <w:p>
      <w:pPr>
        <w:spacing w:after="110" w:line="276"/>
      </w:pPr>
      <w:r>
        <w:rPr>
          <w:b/>
          <w:bCs/>
          <w:color w:val="1B1A18"/>
          <w:sz w:val="20"/>
          <w:szCs w:val="20"/>
        </w:rPr>
        <w:t xml:space="preserve">The six properties: </w:t>
      </w:r>
      <w:r>
        <w:rPr>
          <w:color w:val="1B1A18"/>
          <w:sz w:val="20"/>
          <w:szCs w:val="20"/>
        </w:rPr>
        <w:t xml:space="preserve">context, authority, accountability, coordination, execution coherence, institutional memory.</w:t>
      </w:r>
    </w:p>
    <w:p>
      <w:pPr>
        <w:spacing w:after="110" w:line="276"/>
      </w:pPr>
      <w:r>
        <w:rPr>
          <w:b/>
          <w:bCs/>
          <w:color w:val="1B1A18"/>
          <w:sz w:val="20"/>
          <w:szCs w:val="20"/>
        </w:rPr>
        <w:t xml:space="preserve">The four axioms: </w:t>
      </w:r>
      <w:r>
        <w:rPr>
          <w:color w:val="1B1A18"/>
          <w:sz w:val="20"/>
          <w:szCs w:val="20"/>
        </w:rPr>
        <w:t xml:space="preserve">regulatory determinism (rules are modal), probabilistic behaviour (a system prompt is a request), perpetual variance, audit primacy (evidence cannot be retrofitted). Jointly: governance cannot live in the model.</w:t>
      </w:r>
    </w:p>
    <w:p>
      <w:pPr>
        <w:spacing w:after="110" w:line="276"/>
      </w:pPr>
      <w:r>
        <w:rPr>
          <w:b/>
          <w:bCs/>
          <w:color w:val="1B1A18"/>
          <w:sz w:val="20"/>
          <w:szCs w:val="20"/>
        </w:rPr>
        <w:t xml:space="preserve">The instrument: </w:t>
      </w:r>
      <w:r>
        <w:rPr>
          <w:color w:val="1B1A18"/>
          <w:sz w:val="20"/>
          <w:szCs w:val="20"/>
        </w:rPr>
        <w:t xml:space="preserve">the nine-test evaluation protocol — ‘show the crossing, and show what survives it’ — and the meta-rule: every component must be replaceable, and no property ever may be.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D2C9" w:sz="6"/>
      </w:pBdr>
      <w:spacing w:before="60"/>
      <w:jc w:val="center"/>
    </w:pPr>
    <w:r>
      <w:rPr>
        <w:color w:val="6E6A62"/>
        <w:sz w:val="16"/>
        <w:szCs w:val="16"/>
      </w:rPr>
      <w:t xml:space="preserve">Regulators’ Seminar · educational, not legal advice   ·   Page </w:t>
    </w:r>
    <w:r>
      <w:rPr>
        <w:color w:val="6E6A6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D2C9" w:sz="6"/>
      </w:pBdr>
      <w:spacing w:after="60"/>
      <w:jc w:val="right"/>
    </w:pPr>
    <w:r>
      <w:rPr>
        <w:caps/>
        <w:color w:val="6E6A62"/>
        <w:sz w:val="16"/>
        <w:szCs w:val="16"/>
      </w:rPr>
      <w:t xml:space="preserve">Seminar Syllabus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color w:val="33302B"/>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B1A18"/>
        <w:sz w:val="20"/>
        <w:szCs w:val="20"/>
      </w:rPr>
    </w:rPrDefault>
    <w:pPrDefault/>
  </w:docDefaults>
  <w:style w:type="paragraph" w:styleId="Title">
    <w:name w:val="Title"/>
    <w:basedOn w:val="Normal"/>
    <w:next w:val="Normal"/>
    <w:qFormat/>
    <w:rPr>
      <w:sz w:val="55"/>
      <w:szCs w:val="55"/>
    </w:rPr>
  </w:style>
  <w:style w:type="paragraph" w:styleId="Heading1">
    <w:name w:val="Heading 1"/>
    <w:basedOn w:val="Normal"/>
    <w:next w:val="Normal"/>
    <w:qFormat/>
    <w:rPr>
      <w:color w:val="33302B"/>
      <w:sz w:val="31"/>
      <w:szCs w:val="31"/>
    </w:rPr>
  </w:style>
  <w:style w:type="paragraph" w:styleId="Heading2">
    <w:name w:val="Heading 2"/>
    <w:basedOn w:val="Normal"/>
    <w:next w:val="Normal"/>
    <w:qFormat/>
    <w:rPr>
      <w:color w:val="33302B"/>
      <w:sz w:val="25"/>
      <w:szCs w:val="25"/>
    </w:rPr>
  </w:style>
  <w:style w:type="paragraph" w:styleId="Heading3">
    <w:name w:val="Heading 3"/>
    <w:basedOn w:val="Normal"/>
    <w:next w:val="Normal"/>
    <w:qFormat/>
    <w:rPr>
      <w:color w:val="33302B"/>
      <w:sz w:val="23"/>
      <w:szCs w:val="23"/>
    </w:rPr>
  </w:style>
  <w:style w:type="paragraph" w:styleId="Heading4">
    <w:name w:val="Heading 4"/>
    <w:basedOn w:val="Normal"/>
    <w:next w:val="Normal"/>
    <w:qFormat/>
    <w:rPr>
      <w:i/>
      <w:iCs/>
      <w:color w:val="33302B"/>
    </w:rPr>
  </w:style>
  <w:style w:type="paragraph" w:styleId="Heading5">
    <w:name w:val="Heading 5"/>
    <w:basedOn w:val="Normal"/>
    <w:next w:val="Normal"/>
    <w:qFormat/>
    <w:rPr>
      <w:color w:val="33302B"/>
    </w:rPr>
  </w:style>
  <w:style w:type="paragraph" w:styleId="Heading6">
    <w:name w:val="Heading 6"/>
    <w:basedOn w:val="Normal"/>
    <w:next w:val="Normal"/>
    <w:qFormat/>
    <w:rPr>
      <w:color w:val="33302B"/>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57534A"/>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19"/>
      <w:szCs w:val="19"/>
    </w:rPr>
  </w:style>
  <w:style w:type="character" w:styleId="FootnoteTextChar">
    <w:name w:val="Footnote Text Char"/>
    <w:basedOn w:val="DefaultParagraphFont"/>
    <w:link w:val="FootnoteText"/>
    <w:uiPriority w:val="99"/>
    <w:semiHidden/>
    <w:unhideWhenUsed/>
    <w:rPr>
      <w:sz w:val="19"/>
      <w:szCs w:val="19"/>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19"/>
      <w:szCs w:val="19"/>
    </w:rPr>
  </w:style>
  <w:style w:type="character" w:styleId="EndnoteTextChar">
    <w:name w:val="Endnote Text Char"/>
    <w:basedOn w:val="DefaultParagraphFont"/>
    <w:link w:val="EndnoteText"/>
    <w:uiPriority w:val="99"/>
    <w:semiHidden/>
    <w:unhideWhenUsed/>
    <w:rPr>
      <w:sz w:val="19"/>
      <w:szCs w:val="19"/>
    </w:rPr>
  </w:style>
  <w:style w:type="paragraph" w:styleId="Heading1">
    <w:name w:val="Heading 1"/>
    <w:basedOn w:val="Normal"/>
    <w:next w:val="Normal"/>
    <w:qFormat/>
    <w:rPr>
      <w:rFonts w:ascii="Georgia" w:cs="Georgia" w:eastAsia="Georgia" w:hAnsi="Georgia"/>
      <w:b/>
      <w:bCs/>
      <w:color w:val="33302B"/>
      <w:sz w:val="29"/>
      <w:szCs w:val="29"/>
    </w:rPr>
  </w:style>
  <w:style w:type="paragraph" w:styleId="Heading2">
    <w:name w:val="Heading 2"/>
    <w:basedOn w:val="Normal"/>
    <w:next w:val="Normal"/>
    <w:qFormat/>
    <w:rPr>
      <w:rFonts w:ascii="Georgia" w:cs="Georgia" w:eastAsia="Georgia" w:hAnsi="Georgia"/>
      <w:b/>
      <w:bCs/>
      <w:color w:val="1B1A18"/>
      <w:sz w:val="23"/>
      <w:szCs w:val="23"/>
    </w:rPr>
  </w:style>
  <w:style w:type="paragraph" w:styleId="Heading3">
    <w:name w:val="Heading 3"/>
    <w:basedOn w:val="Normal"/>
    <w:next w:val="Normal"/>
    <w:qFormat/>
    <w:rPr>
      <w:rFonts w:ascii="Georgia" w:cs="Georgia" w:eastAsia="Georgia" w:hAnsi="Georgia"/>
      <w:b/>
      <w:bCs/>
      <w:color w:val="57534A"/>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Regulators’ Seminar — Syllabus</dc:title>
  <dc:creator>MudoZangl — Regulators' seminar materials</dc:creator>
  <cp:lastModifiedBy>Un-named</cp:lastModifiedBy>
  <cp:revision>1</cp:revision>
  <dcterms:created xsi:type="dcterms:W3CDTF">2026-08-17T06:57:08.564Z</dcterms:created>
  <dcterms:modified xsi:type="dcterms:W3CDTF">2026-08-17T06:57:08.564Z</dcterms:modified>
</cp:coreProperties>
</file>

<file path=docProps/custom.xml><?xml version="1.0" encoding="utf-8"?>
<Properties xmlns="http://schemas.openxmlformats.org/officeDocument/2006/custom-properties" xmlns:vt="http://schemas.openxmlformats.org/officeDocument/2006/docPropsVTypes"/>
</file>