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40"/>
      </w:pPr>
      <w:r>
        <w:rPr>
          <w:b/>
          <w:bCs/>
          <w:caps/>
          <w:color w:val="33302B"/>
          <w:spacing w:val="40"/>
          <w:sz w:val="21"/>
          <w:szCs w:val="21"/>
        </w:rPr>
        <w:t xml:space="preserve">Assessment pack</w:t>
      </w:r>
    </w:p>
    <w:p>
      <w:pPr>
        <w:pBdr>
          <w:bottom w:val="single" w:color="33302B" w:sz="12"/>
        </w:pBdr>
        <w:spacing w:after="120"/>
      </w:pPr>
      <w:r>
        <w:rPr>
          <w:b/>
          <w:bCs/>
          <w:color w:val="1B1A18"/>
          <w:sz w:val="43"/>
          <w:szCs w:val="43"/>
        </w:rPr>
        <w:t xml:space="preserve">Assignments &amp; Rubrics</w:t>
      </w:r>
    </w:p>
    <w:p>
      <w:pPr>
        <w:spacing w:after="260" w:before="140"/>
      </w:pPr>
      <w:r>
        <w:rPr>
          <w:i/>
          <w:iCs/>
          <w:color w:val="6E6A62"/>
          <w:sz w:val="22"/>
          <w:szCs w:val="22"/>
        </w:rPr>
        <w:t xml:space="preserve">Case analysis memo · drafting exercise · capstone paper</w:t>
      </w:r>
    </w:p>
    <w:p>
      <w:pPr>
        <w:spacing w:after="40" w:line="276"/>
      </w:pPr>
      <w:r>
        <w:rPr>
          <w:b/>
          <w:bCs/>
          <w:color w:val="1B1A18"/>
          <w:sz w:val="20"/>
          <w:szCs w:val="20"/>
        </w:rPr>
        <w:t xml:space="preserve">Course: </w:t>
      </w:r>
      <w:r>
        <w:rPr>
          <w:color w:val="1B1A18"/>
          <w:sz w:val="20"/>
          <w:szCs w:val="20"/>
        </w:rPr>
        <w:t xml:space="preserve">Law of the Agentic Enterprise (JD / LLM graduate seminar; adaptable as advanced CLE)</w:t>
      </w:r>
    </w:p>
    <w:p>
      <w:pPr>
        <w:spacing w:after="40" w:line="276"/>
      </w:pPr>
      <w:r>
        <w:rPr>
          <w:b/>
          <w:bCs/>
          <w:color w:val="1B1A18"/>
          <w:sz w:val="20"/>
          <w:szCs w:val="20"/>
        </w:rPr>
        <w:t xml:space="preserve">Source text: </w:t>
      </w:r>
      <w:r>
        <w:rPr>
          <w:i/>
          <w:iCs/>
          <w:color w:val="1B1A18"/>
          <w:sz w:val="20"/>
          <w:szCs w:val="20"/>
        </w:rPr>
        <w:t xml:space="preserve">What the Structure Does Not Carry</w:t>
      </w:r>
      <w:r>
        <w:rPr>
          <w:color w:val="1B1A18"/>
          <w:sz w:val="20"/>
          <w:szCs w:val="20"/>
        </w:rPr>
        <w:t xml:space="preserve"> — Georg Zangl (2026)</w:t>
      </w:r>
    </w:p>
    <w:p>
      <w:pPr>
        <w:spacing w:after="220" w:line="276"/>
      </w:pPr>
      <w:r>
        <w:rPr>
          <w:b/>
          <w:bCs/>
          <w:color w:val="1B1A18"/>
          <w:sz w:val="20"/>
          <w:szCs w:val="20"/>
        </w:rPr>
        <w:t xml:space="preserve">Instructor: </w:t>
      </w:r>
      <w:r>
        <w:rPr>
          <w:color w:val="1B1A18"/>
          <w:sz w:val="20"/>
          <w:szCs w:val="20"/>
        </w:rPr>
        <w:t xml:space="preserve">[Instructor name]     </w:t>
      </w:r>
      <w:r>
        <w:rPr>
          <w:b/>
          <w:bCs/>
          <w:color w:val="1B1A18"/>
          <w:sz w:val="20"/>
          <w:szCs w:val="20"/>
        </w:rPr>
        <w:t xml:space="preserve">Term: </w:t>
      </w:r>
      <w:r>
        <w:rPr>
          <w:color w:val="1B1A18"/>
          <w:sz w:val="20"/>
          <w:szCs w:val="20"/>
        </w:rPr>
        <w:t xml:space="preserve">[Term / year]</w:t>
      </w:r>
    </w:p>
    <w:p>
      <w:pPr>
        <w:pBdr>
          <w:top w:val="single" w:color="D6D2C9" w:sz="4"/>
          <w:bottom w:val="single" w:color="D6D2C9" w:sz="4"/>
          <w:left w:val="single" w:color="8A8378" w:sz="12"/>
          <w:right w:val="single" w:color="D6D2C9" w:sz="4"/>
        </w:pBdr>
        <w:spacing w:after="200" w:before="60" w:line="264"/>
        <w:ind w:left="160" w:right="160"/>
      </w:pPr>
      <w:r>
        <w:rPr>
          <w:b/>
          <w:bCs/>
          <w:color w:val="8A8378"/>
          <w:sz w:val="18"/>
          <w:szCs w:val="18"/>
        </w:rPr>
        <w:t xml:space="preserve">Educational material for legal study — not legal advice.  </w:t>
      </w:r>
      <w:r>
        <w:rPr>
          <w:color w:val="1B1A18"/>
          <w:sz w:val="17"/>
          <w:szCs w:val="17"/>
        </w:rPr>
        <w:t xml:space="preserve">This course applies an analytical framework (from the book) to legal questions raised by agentic AI. It is not legal advice and does not state the law of any jurisdiction; doctrines of agency, evidence, data protection, and professional responsibility vary by jurisdiction and change over time. Case summaries are simplified for teaching — read the primary sources. Verify every rule, citation, and figure against the law in force where you practise. Figures are stated as at mid-2026 and will age.</w:t>
      </w:r>
    </w:p>
    <w:p>
      <w:pPr>
        <w:spacing w:after="110" w:line="276"/>
      </w:pPr>
      <w:r>
        <w:rPr>
          <w:i/>
          <w:iCs/>
          <w:color w:val="6E6A62"/>
          <w:sz w:val="20"/>
          <w:szCs w:val="20"/>
        </w:rPr>
        <w:t xml:space="preserve">Three graded assignments plus participation. Weightings: participation 15%, case memo 20%, drafting exercise 20%, capstone paper 45%. Each brief includes a rubric. All submissions are subject to the course’s AI-use and integrity policy: disclose AI use, verify every citation against its primary source, and ensure the analysis is your own.</w:t>
      </w:r>
    </w:p>
    <w:p>
      <w:r>
        <w:br w:type="page"/>
      </w:r>
    </w:p>
    <w:p>
      <w:pPr>
        <w:pStyle w:val="Heading1"/>
        <w:spacing w:after="130" w:before="300"/>
      </w:pPr>
      <w:r>
        <w:rPr>
          <w:b/>
          <w:bCs/>
          <w:color w:val="33302B"/>
          <w:sz w:val="29"/>
          <w:szCs w:val="29"/>
        </w:rPr>
        <w:t xml:space="preserve">Assignment 1 — Case Analysis Memo</w:t>
      </w:r>
    </w:p>
    <w:p>
      <w:pPr>
        <w:spacing w:after="110" w:line="276"/>
      </w:pPr>
      <w:r>
        <w:rPr>
          <w:color w:val="6E6A62"/>
          <w:sz w:val="20"/>
          <w:szCs w:val="20"/>
        </w:rPr>
        <w:t xml:space="preserve">~2,000 words · 20% · set Week 4, due Week 6.</w:t>
      </w:r>
    </w:p>
    <w:p>
      <w:pPr>
        <w:pStyle w:val="Heading2"/>
        <w:spacing w:after="90" w:before="220"/>
      </w:pPr>
      <w:r>
        <w:rPr>
          <w:b/>
          <w:bCs/>
          <w:color w:val="1B1A18"/>
          <w:sz w:val="23"/>
          <w:szCs w:val="23"/>
        </w:rPr>
        <w:t xml:space="preserve">Brief</w:t>
      </w:r>
    </w:p>
    <w:p>
      <w:pPr>
        <w:spacing w:after="110" w:line="276"/>
      </w:pPr>
      <w:r>
        <w:rPr>
          <w:color w:val="1B1A18"/>
          <w:sz w:val="20"/>
          <w:szCs w:val="20"/>
        </w:rPr>
        <w:t xml:space="preserve">Select one record from the casebook (or another documented record approved by the instructor) and write a legal memo that analyses it as a custody failure. Identify the crossing where the loss occurred and the property not in custody; then translate that into legal terms — the duty or duties engaged, the theory of liability or the basis of enforcement, and the evidential register of the record. Conclude with the single structural change that would have prevented the failure and how you would have advised the institution beforehand.</w:t>
      </w:r>
    </w:p>
    <w:p>
      <w:pPr>
        <w:pStyle w:val="Heading2"/>
        <w:spacing w:after="90" w:before="220"/>
      </w:pPr>
      <w:r>
        <w:rPr>
          <w:b/>
          <w:bCs/>
          <w:color w:val="1B1A18"/>
          <w:sz w:val="23"/>
          <w:szCs w:val="23"/>
        </w:rPr>
        <w:t xml:space="preserve">Required structure</w:t>
      </w:r>
    </w:p>
    <w:p>
      <w:pPr>
        <w:spacing w:after="70" w:line="268"/>
        <w:ind w:left="380" w:hanging="260"/>
      </w:pPr>
      <w:r>
        <w:rPr>
          <w:b/>
          <w:bCs/>
          <w:color w:val="33302B"/>
          <w:sz w:val="20"/>
          <w:szCs w:val="20"/>
        </w:rPr>
        <w:t xml:space="preserve">1.  </w:t>
      </w:r>
      <w:r>
        <w:rPr>
          <w:color w:val="1B1A18"/>
          <w:sz w:val="20"/>
          <w:szCs w:val="20"/>
        </w:rPr>
        <w:t xml:space="preserve">Question presented and short answer.</w:t>
      </w:r>
    </w:p>
    <w:p>
      <w:pPr>
        <w:spacing w:after="70" w:line="268"/>
        <w:ind w:left="380" w:hanging="260"/>
      </w:pPr>
      <w:r>
        <w:rPr>
          <w:b/>
          <w:bCs/>
          <w:color w:val="33302B"/>
          <w:sz w:val="20"/>
          <w:szCs w:val="20"/>
        </w:rPr>
        <w:t xml:space="preserve">2.  </w:t>
      </w:r>
      <w:r>
        <w:rPr>
          <w:color w:val="1B1A18"/>
          <w:sz w:val="20"/>
          <w:szCs w:val="20"/>
        </w:rPr>
        <w:t xml:space="preserve">Facts (sourced; note the register — adjudicated, regulator action, acknowledged, or demonstration).</w:t>
      </w:r>
    </w:p>
    <w:p>
      <w:pPr>
        <w:spacing w:after="70" w:line="268"/>
        <w:ind w:left="380" w:hanging="260"/>
      </w:pPr>
      <w:r>
        <w:rPr>
          <w:b/>
          <w:bCs/>
          <w:color w:val="33302B"/>
          <w:sz w:val="20"/>
          <w:szCs w:val="20"/>
        </w:rPr>
        <w:t xml:space="preserve">3.  </w:t>
      </w:r>
      <w:r>
        <w:rPr>
          <w:color w:val="1B1A18"/>
          <w:sz w:val="20"/>
          <w:szCs w:val="20"/>
        </w:rPr>
        <w:t xml:space="preserve">The crossing and the property not in custody.</w:t>
      </w:r>
    </w:p>
    <w:p>
      <w:pPr>
        <w:spacing w:after="70" w:line="268"/>
        <w:ind w:left="380" w:hanging="260"/>
      </w:pPr>
      <w:r>
        <w:rPr>
          <w:b/>
          <w:bCs/>
          <w:color w:val="33302B"/>
          <w:sz w:val="20"/>
          <w:szCs w:val="20"/>
        </w:rPr>
        <w:t xml:space="preserve">4.  </w:t>
      </w:r>
      <w:r>
        <w:rPr>
          <w:color w:val="1B1A18"/>
          <w:sz w:val="20"/>
          <w:szCs w:val="20"/>
        </w:rPr>
        <w:t xml:space="preserve">Legal analysis — the duties engaged and the theory of liability or enforcement.</w:t>
      </w:r>
    </w:p>
    <w:p>
      <w:pPr>
        <w:spacing w:after="70" w:line="268"/>
        <w:ind w:left="380" w:hanging="260"/>
      </w:pPr>
      <w:r>
        <w:rPr>
          <w:b/>
          <w:bCs/>
          <w:color w:val="33302B"/>
          <w:sz w:val="20"/>
          <w:szCs w:val="20"/>
        </w:rPr>
        <w:t xml:space="preserve">5.  </w:t>
      </w:r>
      <w:r>
        <w:rPr>
          <w:color w:val="1B1A18"/>
          <w:sz w:val="20"/>
          <w:szCs w:val="20"/>
        </w:rPr>
        <w:t xml:space="preserve">The preventive advice — the structural change and how you would have counselled the client.</w:t>
      </w:r>
    </w:p>
    <w:p>
      <w:pPr>
        <w:pStyle w:val="Heading2"/>
        <w:spacing w:after="90" w:before="220"/>
      </w:pPr>
      <w:r>
        <w:rPr>
          <w:b/>
          <w:bCs/>
          <w:color w:val="1B1A18"/>
          <w:sz w:val="23"/>
          <w:szCs w:val="23"/>
        </w:rPr>
        <w:t xml:space="preserve">Rubric (100 → 20%)</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200"/>
        <w:gridCol w:w="1200"/>
        <w:gridCol w:w="5680"/>
      </w:tblGrid>
      <w:tr>
        <w:trPr>
          <w:tblHeader/>
        </w:trPr>
        <w:tc>
          <w:tcPr>
            <w:tcW w:type="dxa" w:w="3200"/>
            <w:shd w:fill="33302B" w:color="auto" w:val="clear"/>
            <w:tcMar>
              <w:top w:type="dxa" w:w="55"/>
              <w:left w:type="dxa" w:w="90"/>
              <w:bottom w:type="dxa" w:w="55"/>
              <w:right w:type="dxa" w:w="90"/>
            </w:tcMar>
          </w:tcPr>
          <w:p>
            <w:pPr>
              <w:spacing w:after="0" w:line="246"/>
            </w:pPr>
            <w:r>
              <w:rPr>
                <w:b/>
                <w:bCs/>
                <w:color w:val="FFFFFF"/>
                <w:sz w:val="17"/>
                <w:szCs w:val="17"/>
              </w:rPr>
              <w:t xml:space="preserve">Criterion</w:t>
            </w:r>
          </w:p>
        </w:tc>
        <w:tc>
          <w:tcPr>
            <w:tcW w:type="dxa" w:w="1200"/>
            <w:shd w:fill="33302B" w:color="auto" w:val="clear"/>
            <w:tcMar>
              <w:top w:type="dxa" w:w="55"/>
              <w:left w:type="dxa" w:w="90"/>
              <w:bottom w:type="dxa" w:w="55"/>
              <w:right w:type="dxa" w:w="90"/>
            </w:tcMar>
          </w:tcPr>
          <w:p>
            <w:pPr>
              <w:spacing w:after="0" w:line="246"/>
            </w:pPr>
            <w:r>
              <w:rPr>
                <w:b/>
                <w:bCs/>
                <w:color w:val="FFFFFF"/>
                <w:sz w:val="17"/>
                <w:szCs w:val="17"/>
              </w:rPr>
              <w:t xml:space="preserve">Weight</w:t>
            </w:r>
          </w:p>
        </w:tc>
        <w:tc>
          <w:tcPr>
            <w:tcW w:type="dxa" w:w="5680"/>
            <w:shd w:fill="33302B" w:color="auto" w:val="clear"/>
            <w:tcMar>
              <w:top w:type="dxa" w:w="55"/>
              <w:left w:type="dxa" w:w="90"/>
              <w:bottom w:type="dxa" w:w="55"/>
              <w:right w:type="dxa" w:w="90"/>
            </w:tcMar>
          </w:tcPr>
          <w:p>
            <w:pPr>
              <w:spacing w:after="0" w:line="246"/>
            </w:pPr>
            <w:r>
              <w:rPr>
                <w:b/>
                <w:bCs/>
                <w:color w:val="FFFFFF"/>
                <w:sz w:val="17"/>
                <w:szCs w:val="17"/>
              </w:rPr>
              <w:t xml:space="preserve">Excellence</w:t>
            </w:r>
          </w:p>
        </w:tc>
      </w:tr>
      <w:tr>
        <w:tc>
          <w:tcPr>
            <w:tcW w:type="dxa" w:w="3200"/>
            <w:shd w:fill="FFFFFF" w:color="auto" w:val="clear"/>
            <w:tcMar>
              <w:top w:type="dxa" w:w="55"/>
              <w:left w:type="dxa" w:w="90"/>
              <w:bottom w:type="dxa" w:w="55"/>
              <w:right w:type="dxa" w:w="90"/>
            </w:tcMar>
          </w:tcPr>
          <w:p>
            <w:pPr>
              <w:spacing w:after="0" w:line="246"/>
            </w:pPr>
            <w:r>
              <w:rPr>
                <w:color w:val="1B1A18"/>
                <w:sz w:val="17"/>
                <w:szCs w:val="17"/>
              </w:rPr>
              <w:t xml:space="preserve">Legal analysis</w:t>
            </w:r>
          </w:p>
        </w:tc>
        <w:tc>
          <w:tcPr>
            <w:tcW w:type="dxa" w:w="1200"/>
            <w:shd w:fill="FFFFFF" w:color="auto" w:val="clear"/>
            <w:tcMar>
              <w:top w:type="dxa" w:w="55"/>
              <w:left w:type="dxa" w:w="90"/>
              <w:bottom w:type="dxa" w:w="55"/>
              <w:right w:type="dxa" w:w="90"/>
            </w:tcMar>
          </w:tcPr>
          <w:p>
            <w:pPr>
              <w:spacing w:after="0" w:line="246"/>
            </w:pPr>
            <w:r>
              <w:rPr>
                <w:color w:val="1B1A18"/>
                <w:sz w:val="17"/>
                <w:szCs w:val="17"/>
              </w:rPr>
              <w:t xml:space="preserve">35</w:t>
            </w:r>
          </w:p>
        </w:tc>
        <w:tc>
          <w:tcPr>
            <w:tcW w:type="dxa" w:w="5680"/>
            <w:shd w:fill="FFFFFF" w:color="auto" w:val="clear"/>
            <w:tcMar>
              <w:top w:type="dxa" w:w="55"/>
              <w:left w:type="dxa" w:w="90"/>
              <w:bottom w:type="dxa" w:w="55"/>
              <w:right w:type="dxa" w:w="90"/>
            </w:tcMar>
          </w:tcPr>
          <w:p>
            <w:pPr>
              <w:spacing w:after="0" w:line="246"/>
            </w:pPr>
            <w:r>
              <w:rPr>
                <w:color w:val="1B1A18"/>
                <w:sz w:val="17"/>
                <w:szCs w:val="17"/>
              </w:rPr>
              <w:t xml:space="preserve">Correct duties and theory; register handled precisely; reasoning from the facts</w:t>
            </w:r>
          </w:p>
        </w:tc>
      </w:tr>
      <w:tr>
        <w:tc>
          <w:tcPr>
            <w:tcW w:type="dxa" w:w="3200"/>
            <w:shd w:fill="F4F2EE" w:color="auto" w:val="clear"/>
            <w:tcMar>
              <w:top w:type="dxa" w:w="55"/>
              <w:left w:type="dxa" w:w="90"/>
              <w:bottom w:type="dxa" w:w="55"/>
              <w:right w:type="dxa" w:w="90"/>
            </w:tcMar>
          </w:tcPr>
          <w:p>
            <w:pPr>
              <w:spacing w:after="0" w:line="246"/>
            </w:pPr>
            <w:r>
              <w:rPr>
                <w:color w:val="1B1A18"/>
                <w:sz w:val="17"/>
                <w:szCs w:val="17"/>
              </w:rPr>
              <w:t xml:space="preserve">Custody diagnosis</w:t>
            </w:r>
          </w:p>
        </w:tc>
        <w:tc>
          <w:tcPr>
            <w:tcW w:type="dxa" w:w="1200"/>
            <w:shd w:fill="F4F2EE" w:color="auto" w:val="clear"/>
            <w:tcMar>
              <w:top w:type="dxa" w:w="55"/>
              <w:left w:type="dxa" w:w="90"/>
              <w:bottom w:type="dxa" w:w="55"/>
              <w:right w:type="dxa" w:w="90"/>
            </w:tcMar>
          </w:tcPr>
          <w:p>
            <w:pPr>
              <w:spacing w:after="0" w:line="246"/>
            </w:pPr>
            <w:r>
              <w:rPr>
                <w:color w:val="1B1A18"/>
                <w:sz w:val="17"/>
                <w:szCs w:val="17"/>
              </w:rPr>
              <w:t xml:space="preserve">25</w:t>
            </w:r>
          </w:p>
        </w:tc>
        <w:tc>
          <w:tcPr>
            <w:tcW w:type="dxa" w:w="5680"/>
            <w:shd w:fill="F4F2EE" w:color="auto" w:val="clear"/>
            <w:tcMar>
              <w:top w:type="dxa" w:w="55"/>
              <w:left w:type="dxa" w:w="90"/>
              <w:bottom w:type="dxa" w:w="55"/>
              <w:right w:type="dxa" w:w="90"/>
            </w:tcMar>
          </w:tcPr>
          <w:p>
            <w:pPr>
              <w:spacing w:after="0" w:line="246"/>
            </w:pPr>
            <w:r>
              <w:rPr>
                <w:color w:val="1B1A18"/>
                <w:sz w:val="17"/>
                <w:szCs w:val="17"/>
              </w:rPr>
              <w:t xml:space="preserve">Crossing and property identified correctly and tied to the legal breach</w:t>
            </w:r>
          </w:p>
        </w:tc>
      </w:tr>
      <w:tr>
        <w:tc>
          <w:tcPr>
            <w:tcW w:type="dxa" w:w="3200"/>
            <w:shd w:fill="FFFFFF" w:color="auto" w:val="clear"/>
            <w:tcMar>
              <w:top w:type="dxa" w:w="55"/>
              <w:left w:type="dxa" w:w="90"/>
              <w:bottom w:type="dxa" w:w="55"/>
              <w:right w:type="dxa" w:w="90"/>
            </w:tcMar>
          </w:tcPr>
          <w:p>
            <w:pPr>
              <w:spacing w:after="0" w:line="246"/>
            </w:pPr>
            <w:r>
              <w:rPr>
                <w:color w:val="1B1A18"/>
                <w:sz w:val="17"/>
                <w:szCs w:val="17"/>
              </w:rPr>
              <w:t xml:space="preserve">Preventive counsel</w:t>
            </w:r>
          </w:p>
        </w:tc>
        <w:tc>
          <w:tcPr>
            <w:tcW w:type="dxa" w:w="1200"/>
            <w:shd w:fill="FFFFFF" w:color="auto" w:val="clear"/>
            <w:tcMar>
              <w:top w:type="dxa" w:w="55"/>
              <w:left w:type="dxa" w:w="90"/>
              <w:bottom w:type="dxa" w:w="55"/>
              <w:right w:type="dxa" w:w="90"/>
            </w:tcMar>
          </w:tcPr>
          <w:p>
            <w:pPr>
              <w:spacing w:after="0" w:line="246"/>
            </w:pPr>
            <w:r>
              <w:rPr>
                <w:color w:val="1B1A18"/>
                <w:sz w:val="17"/>
                <w:szCs w:val="17"/>
              </w:rPr>
              <w:t xml:space="preserve">25</w:t>
            </w:r>
          </w:p>
        </w:tc>
        <w:tc>
          <w:tcPr>
            <w:tcW w:type="dxa" w:w="5680"/>
            <w:shd w:fill="FFFFFF" w:color="auto" w:val="clear"/>
            <w:tcMar>
              <w:top w:type="dxa" w:w="55"/>
              <w:left w:type="dxa" w:w="90"/>
              <w:bottom w:type="dxa" w:w="55"/>
              <w:right w:type="dxa" w:w="90"/>
            </w:tcMar>
          </w:tcPr>
          <w:p>
            <w:pPr>
              <w:spacing w:after="0" w:line="246"/>
            </w:pPr>
            <w:r>
              <w:rPr>
                <w:color w:val="1B1A18"/>
                <w:sz w:val="17"/>
                <w:szCs w:val="17"/>
              </w:rPr>
              <w:t xml:space="preserve">A concrete, structural, preventive recommendation — not hindsight</w:t>
            </w:r>
          </w:p>
        </w:tc>
      </w:tr>
      <w:tr>
        <w:tc>
          <w:tcPr>
            <w:tcW w:type="dxa" w:w="3200"/>
            <w:shd w:fill="F4F2EE" w:color="auto" w:val="clear"/>
            <w:tcMar>
              <w:top w:type="dxa" w:w="55"/>
              <w:left w:type="dxa" w:w="90"/>
              <w:bottom w:type="dxa" w:w="55"/>
              <w:right w:type="dxa" w:w="90"/>
            </w:tcMar>
          </w:tcPr>
          <w:p>
            <w:pPr>
              <w:spacing w:after="0" w:line="246"/>
            </w:pPr>
            <w:r>
              <w:rPr>
                <w:color w:val="1B1A18"/>
                <w:sz w:val="17"/>
                <w:szCs w:val="17"/>
              </w:rPr>
              <w:t xml:space="preserve">Memo craft</w:t>
            </w:r>
          </w:p>
        </w:tc>
        <w:tc>
          <w:tcPr>
            <w:tcW w:type="dxa" w:w="1200"/>
            <w:shd w:fill="F4F2EE" w:color="auto" w:val="clear"/>
            <w:tcMar>
              <w:top w:type="dxa" w:w="55"/>
              <w:left w:type="dxa" w:w="90"/>
              <w:bottom w:type="dxa" w:w="55"/>
              <w:right w:type="dxa" w:w="90"/>
            </w:tcMar>
          </w:tcPr>
          <w:p>
            <w:pPr>
              <w:spacing w:after="0" w:line="246"/>
            </w:pPr>
            <w:r>
              <w:rPr>
                <w:color w:val="1B1A18"/>
                <w:sz w:val="17"/>
                <w:szCs w:val="17"/>
              </w:rPr>
              <w:t xml:space="preserve">15</w:t>
            </w:r>
          </w:p>
        </w:tc>
        <w:tc>
          <w:tcPr>
            <w:tcW w:type="dxa" w:w="5680"/>
            <w:shd w:fill="F4F2EE" w:color="auto" w:val="clear"/>
            <w:tcMar>
              <w:top w:type="dxa" w:w="55"/>
              <w:left w:type="dxa" w:w="90"/>
              <w:bottom w:type="dxa" w:w="55"/>
              <w:right w:type="dxa" w:w="90"/>
            </w:tcMar>
          </w:tcPr>
          <w:p>
            <w:pPr>
              <w:spacing w:after="0" w:line="246"/>
            </w:pPr>
            <w:r>
              <w:rPr>
                <w:color w:val="1B1A18"/>
                <w:sz w:val="17"/>
                <w:szCs w:val="17"/>
              </w:rPr>
              <w:t xml:space="preserve">Clear, well-organised, correctly cited to primary sources</w:t>
            </w:r>
          </w:p>
        </w:tc>
      </w:tr>
    </w:tbl>
    <w:p>
      <w:r>
        <w:br w:type="page"/>
      </w:r>
    </w:p>
    <w:p>
      <w:pPr>
        <w:pStyle w:val="Heading1"/>
        <w:spacing w:after="130" w:before="300"/>
      </w:pPr>
      <w:r>
        <w:rPr>
          <w:b/>
          <w:bCs/>
          <w:color w:val="33302B"/>
          <w:sz w:val="29"/>
          <w:szCs w:val="29"/>
        </w:rPr>
        <w:t xml:space="preserve">Assignment 2 — Drafting Exercise</w:t>
      </w:r>
    </w:p>
    <w:p>
      <w:pPr>
        <w:spacing w:after="110" w:line="276"/>
      </w:pPr>
      <w:r>
        <w:rPr>
          <w:color w:val="6E6A62"/>
          <w:sz w:val="20"/>
          <w:szCs w:val="20"/>
        </w:rPr>
        <w:t xml:space="preserve">~2,000–2,500 words (incl. drafted text) · 20% · set Week 8, due Week 10.</w:t>
      </w:r>
    </w:p>
    <w:p>
      <w:pPr>
        <w:pStyle w:val="Heading2"/>
        <w:spacing w:after="90" w:before="220"/>
      </w:pPr>
      <w:r>
        <w:rPr>
          <w:b/>
          <w:bCs/>
          <w:color w:val="1B1A18"/>
          <w:sz w:val="23"/>
          <w:szCs w:val="23"/>
        </w:rPr>
        <w:t xml:space="preserve">Brief — choose ONE track</w:t>
      </w:r>
    </w:p>
    <w:p>
      <w:pPr>
        <w:pStyle w:val="ListParagraph"/>
        <w:numPr>
          <w:ilvl w:val="0"/>
          <w:numId w:val="2"/>
        </w:numPr>
        <w:spacing w:after="60" w:line="268"/>
      </w:pPr>
      <w:r>
        <w:rPr>
          <w:b/>
          <w:bCs/>
          <w:color w:val="1B1A18"/>
          <w:sz w:val="20"/>
          <w:szCs w:val="20"/>
        </w:rPr>
        <w:t xml:space="preserve">(a) Rule-writing — </w:t>
      </w:r>
      <w:r>
        <w:rPr>
          <w:color w:val="1B1A18"/>
          <w:sz w:val="20"/>
          <w:szCs w:val="20"/>
        </w:rPr>
        <w:t xml:space="preserve">Draft one or two operative provisions of a regulatory standard that would bind an agentic system in a chosen sector, with a short commentary explaining how each provision achieves structural enforcement and evidence by construction.</w:t>
      </w:r>
    </w:p>
    <w:p>
      <w:pPr>
        <w:pStyle w:val="ListParagraph"/>
        <w:numPr>
          <w:ilvl w:val="0"/>
          <w:numId w:val="2"/>
        </w:numPr>
        <w:spacing w:after="60" w:line="268"/>
      </w:pPr>
      <w:r>
        <w:rPr>
          <w:b/>
          <w:bCs/>
          <w:color w:val="1B1A18"/>
          <w:sz w:val="20"/>
          <w:szCs w:val="20"/>
        </w:rPr>
        <w:t xml:space="preserve">(b) Transactional — </w:t>
      </w:r>
      <w:r>
        <w:rPr>
          <w:color w:val="1B1A18"/>
          <w:sz w:val="20"/>
          <w:szCs w:val="20"/>
        </w:rPr>
        <w:t xml:space="preserve">Draft a set of contract clauses allocating agentic-AI risk (warranties, audit/evidence rights, sovereignty/exit, indemnities), with commentary on what each clause protects against.</w:t>
      </w:r>
    </w:p>
    <w:p>
      <w:pPr>
        <w:pStyle w:val="ListParagraph"/>
        <w:numPr>
          <w:ilvl w:val="0"/>
          <w:numId w:val="2"/>
        </w:numPr>
        <w:spacing w:after="60" w:line="268"/>
      </w:pPr>
      <w:r>
        <w:rPr>
          <w:b/>
          <w:bCs/>
          <w:color w:val="1B1A18"/>
          <w:sz w:val="20"/>
          <w:szCs w:val="20"/>
        </w:rPr>
        <w:t xml:space="preserve">(c) Compliance — </w:t>
      </w:r>
      <w:r>
        <w:rPr>
          <w:color w:val="1B1A18"/>
          <w:sz w:val="20"/>
          <w:szCs w:val="20"/>
        </w:rPr>
        <w:t xml:space="preserve">Draft an internal compliance policy for an institution deploying an agentic system in a regulated process, with commentary mapping each control to a duty.</w:t>
      </w:r>
    </w:p>
    <w:p>
      <w:pPr>
        <w:pStyle w:val="Heading2"/>
        <w:spacing w:after="90" w:before="220"/>
      </w:pPr>
      <w:r>
        <w:rPr>
          <w:b/>
          <w:bCs/>
          <w:color w:val="1B1A18"/>
          <w:sz w:val="23"/>
          <w:szCs w:val="23"/>
        </w:rPr>
        <w:t xml:space="preserve">Common requirements</w:t>
      </w:r>
    </w:p>
    <w:p>
      <w:pPr>
        <w:spacing w:after="110" w:line="276"/>
      </w:pPr>
      <w:r>
        <w:rPr>
          <w:color w:val="1B1A18"/>
          <w:sz w:val="20"/>
          <w:szCs w:val="20"/>
        </w:rPr>
        <w:t xml:space="preserve">Whichever track: the drafted text must foreclose ‘we instruct the model’ as a compliant answer, require attribution by construction, and address at least one sovereignty/dependency risk. The commentary must test the draft against the evaluation toolkit — a provision is only as strong as the demonstration you can demand under it.</w:t>
      </w:r>
    </w:p>
    <w:p>
      <w:pPr>
        <w:pStyle w:val="Heading2"/>
        <w:spacing w:after="90" w:before="220"/>
      </w:pPr>
      <w:r>
        <w:rPr>
          <w:b/>
          <w:bCs/>
          <w:color w:val="1B1A18"/>
          <w:sz w:val="23"/>
          <w:szCs w:val="23"/>
        </w:rPr>
        <w:t xml:space="preserve">Rubric (100 → 20%)</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200"/>
        <w:gridCol w:w="1200"/>
        <w:gridCol w:w="5680"/>
      </w:tblGrid>
      <w:tr>
        <w:trPr>
          <w:tblHeader/>
        </w:trPr>
        <w:tc>
          <w:tcPr>
            <w:tcW w:type="dxa" w:w="3200"/>
            <w:shd w:fill="33302B" w:color="auto" w:val="clear"/>
            <w:tcMar>
              <w:top w:type="dxa" w:w="55"/>
              <w:left w:type="dxa" w:w="90"/>
              <w:bottom w:type="dxa" w:w="55"/>
              <w:right w:type="dxa" w:w="90"/>
            </w:tcMar>
          </w:tcPr>
          <w:p>
            <w:pPr>
              <w:spacing w:after="0" w:line="246"/>
            </w:pPr>
            <w:r>
              <w:rPr>
                <w:b/>
                <w:bCs/>
                <w:color w:val="FFFFFF"/>
                <w:sz w:val="17"/>
                <w:szCs w:val="17"/>
              </w:rPr>
              <w:t xml:space="preserve">Criterion</w:t>
            </w:r>
          </w:p>
        </w:tc>
        <w:tc>
          <w:tcPr>
            <w:tcW w:type="dxa" w:w="1200"/>
            <w:shd w:fill="33302B" w:color="auto" w:val="clear"/>
            <w:tcMar>
              <w:top w:type="dxa" w:w="55"/>
              <w:left w:type="dxa" w:w="90"/>
              <w:bottom w:type="dxa" w:w="55"/>
              <w:right w:type="dxa" w:w="90"/>
            </w:tcMar>
          </w:tcPr>
          <w:p>
            <w:pPr>
              <w:spacing w:after="0" w:line="246"/>
            </w:pPr>
            <w:r>
              <w:rPr>
                <w:b/>
                <w:bCs/>
                <w:color w:val="FFFFFF"/>
                <w:sz w:val="17"/>
                <w:szCs w:val="17"/>
              </w:rPr>
              <w:t xml:space="preserve">Weight</w:t>
            </w:r>
          </w:p>
        </w:tc>
        <w:tc>
          <w:tcPr>
            <w:tcW w:type="dxa" w:w="5680"/>
            <w:shd w:fill="33302B" w:color="auto" w:val="clear"/>
            <w:tcMar>
              <w:top w:type="dxa" w:w="55"/>
              <w:left w:type="dxa" w:w="90"/>
              <w:bottom w:type="dxa" w:w="55"/>
              <w:right w:type="dxa" w:w="90"/>
            </w:tcMar>
          </w:tcPr>
          <w:p>
            <w:pPr>
              <w:spacing w:after="0" w:line="246"/>
            </w:pPr>
            <w:r>
              <w:rPr>
                <w:b/>
                <w:bCs/>
                <w:color w:val="FFFFFF"/>
                <w:sz w:val="17"/>
                <w:szCs w:val="17"/>
              </w:rPr>
              <w:t xml:space="preserve">Excellence</w:t>
            </w:r>
          </w:p>
        </w:tc>
      </w:tr>
      <w:tr>
        <w:tc>
          <w:tcPr>
            <w:tcW w:type="dxa" w:w="3200"/>
            <w:shd w:fill="FFFFFF" w:color="auto" w:val="clear"/>
            <w:tcMar>
              <w:top w:type="dxa" w:w="55"/>
              <w:left w:type="dxa" w:w="90"/>
              <w:bottom w:type="dxa" w:w="55"/>
              <w:right w:type="dxa" w:w="90"/>
            </w:tcMar>
          </w:tcPr>
          <w:p>
            <w:pPr>
              <w:spacing w:after="0" w:line="246"/>
            </w:pPr>
            <w:r>
              <w:rPr>
                <w:color w:val="1B1A18"/>
                <w:sz w:val="17"/>
                <w:szCs w:val="17"/>
              </w:rPr>
              <w:t xml:space="preserve">Drafting quality</w:t>
            </w:r>
          </w:p>
        </w:tc>
        <w:tc>
          <w:tcPr>
            <w:tcW w:type="dxa" w:w="1200"/>
            <w:shd w:fill="FFFFFF" w:color="auto" w:val="clear"/>
            <w:tcMar>
              <w:top w:type="dxa" w:w="55"/>
              <w:left w:type="dxa" w:w="90"/>
              <w:bottom w:type="dxa" w:w="55"/>
              <w:right w:type="dxa" w:w="90"/>
            </w:tcMar>
          </w:tcPr>
          <w:p>
            <w:pPr>
              <w:spacing w:after="0" w:line="246"/>
            </w:pPr>
            <w:r>
              <w:rPr>
                <w:color w:val="1B1A18"/>
                <w:sz w:val="17"/>
                <w:szCs w:val="17"/>
              </w:rPr>
              <w:t xml:space="preserve">35</w:t>
            </w:r>
          </w:p>
        </w:tc>
        <w:tc>
          <w:tcPr>
            <w:tcW w:type="dxa" w:w="5680"/>
            <w:shd w:fill="FFFFFF" w:color="auto" w:val="clear"/>
            <w:tcMar>
              <w:top w:type="dxa" w:w="55"/>
              <w:left w:type="dxa" w:w="90"/>
              <w:bottom w:type="dxa" w:w="55"/>
              <w:right w:type="dxa" w:w="90"/>
            </w:tcMar>
          </w:tcPr>
          <w:p>
            <w:pPr>
              <w:spacing w:after="0" w:line="246"/>
            </w:pPr>
            <w:r>
              <w:rPr>
                <w:color w:val="1B1A18"/>
                <w:sz w:val="17"/>
                <w:szCs w:val="17"/>
              </w:rPr>
              <w:t xml:space="preserve">Operative, precise text that would actually bind; no ambiguity a respondent could exploit</w:t>
            </w:r>
          </w:p>
        </w:tc>
      </w:tr>
      <w:tr>
        <w:tc>
          <w:tcPr>
            <w:tcW w:type="dxa" w:w="3200"/>
            <w:shd w:fill="F4F2EE" w:color="auto" w:val="clear"/>
            <w:tcMar>
              <w:top w:type="dxa" w:w="55"/>
              <w:left w:type="dxa" w:w="90"/>
              <w:bottom w:type="dxa" w:w="55"/>
              <w:right w:type="dxa" w:w="90"/>
            </w:tcMar>
          </w:tcPr>
          <w:p>
            <w:pPr>
              <w:spacing w:after="0" w:line="246"/>
            </w:pPr>
            <w:r>
              <w:rPr>
                <w:color w:val="1B1A18"/>
                <w:sz w:val="17"/>
                <w:szCs w:val="17"/>
              </w:rPr>
              <w:t xml:space="preserve">Structural enforcement</w:t>
            </w:r>
          </w:p>
        </w:tc>
        <w:tc>
          <w:tcPr>
            <w:tcW w:type="dxa" w:w="1200"/>
            <w:shd w:fill="F4F2EE" w:color="auto" w:val="clear"/>
            <w:tcMar>
              <w:top w:type="dxa" w:w="55"/>
              <w:left w:type="dxa" w:w="90"/>
              <w:bottom w:type="dxa" w:w="55"/>
              <w:right w:type="dxa" w:w="90"/>
            </w:tcMar>
          </w:tcPr>
          <w:p>
            <w:pPr>
              <w:spacing w:after="0" w:line="246"/>
            </w:pPr>
            <w:r>
              <w:rPr>
                <w:color w:val="1B1A18"/>
                <w:sz w:val="17"/>
                <w:szCs w:val="17"/>
              </w:rPr>
              <w:t xml:space="preserve">30</w:t>
            </w:r>
          </w:p>
        </w:tc>
        <w:tc>
          <w:tcPr>
            <w:tcW w:type="dxa" w:w="5680"/>
            <w:shd w:fill="F4F2EE" w:color="auto" w:val="clear"/>
            <w:tcMar>
              <w:top w:type="dxa" w:w="55"/>
              <w:left w:type="dxa" w:w="90"/>
              <w:bottom w:type="dxa" w:w="55"/>
              <w:right w:type="dxa" w:w="90"/>
            </w:tcMar>
          </w:tcPr>
          <w:p>
            <w:pPr>
              <w:spacing w:after="0" w:line="246"/>
            </w:pPr>
            <w:r>
              <w:rPr>
                <w:color w:val="1B1A18"/>
                <w:sz w:val="17"/>
                <w:szCs w:val="17"/>
              </w:rPr>
              <w:t xml:space="preserve">The draft locates enforcement in structure and evidence, not instruction</w:t>
            </w:r>
          </w:p>
        </w:tc>
      </w:tr>
      <w:tr>
        <w:tc>
          <w:tcPr>
            <w:tcW w:type="dxa" w:w="3200"/>
            <w:shd w:fill="FFFFFF" w:color="auto" w:val="clear"/>
            <w:tcMar>
              <w:top w:type="dxa" w:w="55"/>
              <w:left w:type="dxa" w:w="90"/>
              <w:bottom w:type="dxa" w:w="55"/>
              <w:right w:type="dxa" w:w="90"/>
            </w:tcMar>
          </w:tcPr>
          <w:p>
            <w:pPr>
              <w:spacing w:after="0" w:line="246"/>
            </w:pPr>
            <w:r>
              <w:rPr>
                <w:color w:val="1B1A18"/>
                <w:sz w:val="17"/>
                <w:szCs w:val="17"/>
              </w:rPr>
              <w:t xml:space="preserve">Commentary &amp; testing</w:t>
            </w:r>
          </w:p>
        </w:tc>
        <w:tc>
          <w:tcPr>
            <w:tcW w:type="dxa" w:w="1200"/>
            <w:shd w:fill="FFFFFF" w:color="auto" w:val="clear"/>
            <w:tcMar>
              <w:top w:type="dxa" w:w="55"/>
              <w:left w:type="dxa" w:w="90"/>
              <w:bottom w:type="dxa" w:w="55"/>
              <w:right w:type="dxa" w:w="90"/>
            </w:tcMar>
          </w:tcPr>
          <w:p>
            <w:pPr>
              <w:spacing w:after="0" w:line="246"/>
            </w:pPr>
            <w:r>
              <w:rPr>
                <w:color w:val="1B1A18"/>
                <w:sz w:val="17"/>
                <w:szCs w:val="17"/>
              </w:rPr>
              <w:t xml:space="preserve">20</w:t>
            </w:r>
          </w:p>
        </w:tc>
        <w:tc>
          <w:tcPr>
            <w:tcW w:type="dxa" w:w="5680"/>
            <w:shd w:fill="FFFFFF" w:color="auto" w:val="clear"/>
            <w:tcMar>
              <w:top w:type="dxa" w:w="55"/>
              <w:left w:type="dxa" w:w="90"/>
              <w:bottom w:type="dxa" w:w="55"/>
              <w:right w:type="dxa" w:w="90"/>
            </w:tcMar>
          </w:tcPr>
          <w:p>
            <w:pPr>
              <w:spacing w:after="0" w:line="246"/>
            </w:pPr>
            <w:r>
              <w:rPr>
                <w:color w:val="1B1A18"/>
                <w:sz w:val="17"/>
                <w:szCs w:val="17"/>
              </w:rPr>
              <w:t xml:space="preserve">Each provision tested against the toolkit; trade-offs acknowledged</w:t>
            </w:r>
          </w:p>
        </w:tc>
      </w:tr>
      <w:tr>
        <w:tc>
          <w:tcPr>
            <w:tcW w:type="dxa" w:w="3200"/>
            <w:shd w:fill="F4F2EE" w:color="auto" w:val="clear"/>
            <w:tcMar>
              <w:top w:type="dxa" w:w="55"/>
              <w:left w:type="dxa" w:w="90"/>
              <w:bottom w:type="dxa" w:w="55"/>
              <w:right w:type="dxa" w:w="90"/>
            </w:tcMar>
          </w:tcPr>
          <w:p>
            <w:pPr>
              <w:spacing w:after="0" w:line="246"/>
            </w:pPr>
            <w:r>
              <w:rPr>
                <w:color w:val="1B1A18"/>
                <w:sz w:val="17"/>
                <w:szCs w:val="17"/>
              </w:rPr>
              <w:t xml:space="preserve">Craft &amp; sourcing</w:t>
            </w:r>
          </w:p>
        </w:tc>
        <w:tc>
          <w:tcPr>
            <w:tcW w:type="dxa" w:w="1200"/>
            <w:shd w:fill="F4F2EE" w:color="auto" w:val="clear"/>
            <w:tcMar>
              <w:top w:type="dxa" w:w="55"/>
              <w:left w:type="dxa" w:w="90"/>
              <w:bottom w:type="dxa" w:w="55"/>
              <w:right w:type="dxa" w:w="90"/>
            </w:tcMar>
          </w:tcPr>
          <w:p>
            <w:pPr>
              <w:spacing w:after="0" w:line="246"/>
            </w:pPr>
            <w:r>
              <w:rPr>
                <w:color w:val="1B1A18"/>
                <w:sz w:val="17"/>
                <w:szCs w:val="17"/>
              </w:rPr>
              <w:t xml:space="preserve">15</w:t>
            </w:r>
          </w:p>
        </w:tc>
        <w:tc>
          <w:tcPr>
            <w:tcW w:type="dxa" w:w="5680"/>
            <w:shd w:fill="F4F2EE" w:color="auto" w:val="clear"/>
            <w:tcMar>
              <w:top w:type="dxa" w:w="55"/>
              <w:left w:type="dxa" w:w="90"/>
              <w:bottom w:type="dxa" w:w="55"/>
              <w:right w:type="dxa" w:w="90"/>
            </w:tcMar>
          </w:tcPr>
          <w:p>
            <w:pPr>
              <w:spacing w:after="0" w:line="246"/>
            </w:pPr>
            <w:r>
              <w:rPr>
                <w:color w:val="1B1A18"/>
                <w:sz w:val="17"/>
                <w:szCs w:val="17"/>
              </w:rPr>
              <w:t xml:space="preserve">Clear commentary; accurate references</w:t>
            </w:r>
          </w:p>
        </w:tc>
      </w:tr>
    </w:tbl>
    <w:p>
      <w:r>
        <w:br w:type="page"/>
      </w:r>
    </w:p>
    <w:p>
      <w:pPr>
        <w:pStyle w:val="Heading1"/>
        <w:spacing w:after="130" w:before="300"/>
      </w:pPr>
      <w:r>
        <w:rPr>
          <w:b/>
          <w:bCs/>
          <w:color w:val="33302B"/>
          <w:sz w:val="29"/>
          <w:szCs w:val="29"/>
        </w:rPr>
        <w:t xml:space="preserve">Capstone Paper</w:t>
      </w:r>
    </w:p>
    <w:p>
      <w:pPr>
        <w:spacing w:after="110" w:line="276"/>
      </w:pPr>
      <w:r>
        <w:rPr>
          <w:color w:val="6E6A62"/>
          <w:sz w:val="20"/>
          <w:szCs w:val="20"/>
        </w:rPr>
        <w:t xml:space="preserve">5,000–6,000 words · 45% · proposal Week 11; paper due in the exam period.</w:t>
      </w:r>
    </w:p>
    <w:p>
      <w:pPr>
        <w:pStyle w:val="Heading2"/>
        <w:spacing w:after="90" w:before="220"/>
      </w:pPr>
      <w:r>
        <w:rPr>
          <w:b/>
          <w:bCs/>
          <w:color w:val="1B1A18"/>
          <w:sz w:val="23"/>
          <w:szCs w:val="23"/>
        </w:rPr>
        <w:t xml:space="preserve">Brief — choose ONE</w:t>
      </w:r>
    </w:p>
    <w:p>
      <w:pPr>
        <w:pStyle w:val="ListParagraph"/>
        <w:numPr>
          <w:ilvl w:val="0"/>
          <w:numId w:val="2"/>
        </w:numPr>
        <w:spacing w:after="60" w:line="268"/>
      </w:pPr>
      <w:r>
        <w:rPr>
          <w:b/>
          <w:bCs/>
          <w:color w:val="1B1A18"/>
          <w:sz w:val="20"/>
          <w:szCs w:val="20"/>
        </w:rPr>
        <w:t xml:space="preserve">Liability — </w:t>
      </w:r>
      <w:r>
        <w:rPr>
          <w:color w:val="1B1A18"/>
          <w:sz w:val="20"/>
          <w:szCs w:val="20"/>
        </w:rPr>
        <w:t xml:space="preserve">A liability analysis: how existing agency, tort, or sectoral doctrine allocates responsibility for a defined class of agentic-AI harm, and where the doctrine strains.</w:t>
      </w:r>
    </w:p>
    <w:p>
      <w:pPr>
        <w:pStyle w:val="ListParagraph"/>
        <w:numPr>
          <w:ilvl w:val="0"/>
          <w:numId w:val="2"/>
        </w:numPr>
        <w:spacing w:after="60" w:line="268"/>
      </w:pPr>
      <w:r>
        <w:rPr>
          <w:b/>
          <w:bCs/>
          <w:color w:val="1B1A18"/>
          <w:sz w:val="20"/>
          <w:szCs w:val="20"/>
        </w:rPr>
        <w:t xml:space="preserve">Standards — </w:t>
      </w:r>
      <w:r>
        <w:rPr>
          <w:color w:val="1B1A18"/>
          <w:sz w:val="20"/>
          <w:szCs w:val="20"/>
        </w:rPr>
        <w:t xml:space="preserve">A model regulatory standard with commentary: a coherent standard binding agentic systems in a chosen domain, defended provision by provision.</w:t>
      </w:r>
    </w:p>
    <w:p>
      <w:pPr>
        <w:pStyle w:val="ListParagraph"/>
        <w:numPr>
          <w:ilvl w:val="0"/>
          <w:numId w:val="2"/>
        </w:numPr>
        <w:spacing w:after="60" w:line="268"/>
      </w:pPr>
      <w:r>
        <w:rPr>
          <w:b/>
          <w:bCs/>
          <w:color w:val="1B1A18"/>
          <w:sz w:val="20"/>
          <w:szCs w:val="20"/>
        </w:rPr>
        <w:t xml:space="preserve">Governance — </w:t>
      </w:r>
      <w:r>
        <w:rPr>
          <w:color w:val="1B1A18"/>
          <w:sz w:val="20"/>
          <w:szCs w:val="20"/>
        </w:rPr>
        <w:t xml:space="preserve">A governance/contract framework: how an institution should allocate and control agentic-AI risk across policy and contract, argued as legal design.</w:t>
      </w:r>
    </w:p>
    <w:p>
      <w:pPr>
        <w:pStyle w:val="ListParagraph"/>
        <w:numPr>
          <w:ilvl w:val="0"/>
          <w:numId w:val="2"/>
        </w:numPr>
        <w:spacing w:after="60" w:line="268"/>
      </w:pPr>
      <w:r>
        <w:rPr>
          <w:b/>
          <w:bCs/>
          <w:color w:val="1B1A18"/>
          <w:sz w:val="20"/>
          <w:szCs w:val="20"/>
        </w:rPr>
        <w:t xml:space="preserve">Ethics — </w:t>
      </w:r>
      <w:r>
        <w:rPr>
          <w:color w:val="1B1A18"/>
          <w:sz w:val="20"/>
          <w:szCs w:val="20"/>
        </w:rPr>
        <w:t xml:space="preserve">A professional-responsibility analysis: how the duties of competence, confidentiality, candour, and supervision should apply to lawyers’ use of agentic AI.</w:t>
      </w:r>
    </w:p>
    <w:p>
      <w:pPr>
        <w:pStyle w:val="Heading2"/>
        <w:spacing w:after="90" w:before="220"/>
      </w:pPr>
      <w:r>
        <w:rPr>
          <w:b/>
          <w:bCs/>
          <w:color w:val="1B1A18"/>
          <w:sz w:val="23"/>
          <w:szCs w:val="23"/>
        </w:rPr>
        <w:t xml:space="preserve">Requirements</w:t>
      </w:r>
    </w:p>
    <w:p>
      <w:pPr>
        <w:spacing w:after="110" w:line="276"/>
      </w:pPr>
      <w:r>
        <w:rPr>
          <w:color w:val="1B1A18"/>
          <w:sz w:val="20"/>
          <w:szCs w:val="20"/>
        </w:rPr>
        <w:t xml:space="preserve">The paper must engage primary legal sources, use the course’s custody framework as an analytical lens (not merely restate it), handle the evidential register of any real records precisely, and be candid about the limits of its own argument. A proposal (one page: thesis, sources, and method) is due Week 11.</w:t>
      </w:r>
    </w:p>
    <w:p>
      <w:pPr>
        <w:pStyle w:val="Heading2"/>
        <w:spacing w:after="90" w:before="220"/>
      </w:pPr>
      <w:r>
        <w:rPr>
          <w:b/>
          <w:bCs/>
          <w:color w:val="1B1A18"/>
          <w:sz w:val="23"/>
          <w:szCs w:val="23"/>
        </w:rPr>
        <w:t xml:space="preserve">Rubric (100 → 45%)</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200"/>
        <w:gridCol w:w="1200"/>
        <w:gridCol w:w="5680"/>
      </w:tblGrid>
      <w:tr>
        <w:trPr>
          <w:tblHeader/>
        </w:trPr>
        <w:tc>
          <w:tcPr>
            <w:tcW w:type="dxa" w:w="3200"/>
            <w:shd w:fill="33302B" w:color="auto" w:val="clear"/>
            <w:tcMar>
              <w:top w:type="dxa" w:w="55"/>
              <w:left w:type="dxa" w:w="90"/>
              <w:bottom w:type="dxa" w:w="55"/>
              <w:right w:type="dxa" w:w="90"/>
            </w:tcMar>
          </w:tcPr>
          <w:p>
            <w:pPr>
              <w:spacing w:after="0" w:line="246"/>
            </w:pPr>
            <w:r>
              <w:rPr>
                <w:b/>
                <w:bCs/>
                <w:color w:val="FFFFFF"/>
                <w:sz w:val="17"/>
                <w:szCs w:val="17"/>
              </w:rPr>
              <w:t xml:space="preserve">Criterion</w:t>
            </w:r>
          </w:p>
        </w:tc>
        <w:tc>
          <w:tcPr>
            <w:tcW w:type="dxa" w:w="1200"/>
            <w:shd w:fill="33302B" w:color="auto" w:val="clear"/>
            <w:tcMar>
              <w:top w:type="dxa" w:w="55"/>
              <w:left w:type="dxa" w:w="90"/>
              <w:bottom w:type="dxa" w:w="55"/>
              <w:right w:type="dxa" w:w="90"/>
            </w:tcMar>
          </w:tcPr>
          <w:p>
            <w:pPr>
              <w:spacing w:after="0" w:line="246"/>
            </w:pPr>
            <w:r>
              <w:rPr>
                <w:b/>
                <w:bCs/>
                <w:color w:val="FFFFFF"/>
                <w:sz w:val="17"/>
                <w:szCs w:val="17"/>
              </w:rPr>
              <w:t xml:space="preserve">Weight</w:t>
            </w:r>
          </w:p>
        </w:tc>
        <w:tc>
          <w:tcPr>
            <w:tcW w:type="dxa" w:w="5680"/>
            <w:shd w:fill="33302B" w:color="auto" w:val="clear"/>
            <w:tcMar>
              <w:top w:type="dxa" w:w="55"/>
              <w:left w:type="dxa" w:w="90"/>
              <w:bottom w:type="dxa" w:w="55"/>
              <w:right w:type="dxa" w:w="90"/>
            </w:tcMar>
          </w:tcPr>
          <w:p>
            <w:pPr>
              <w:spacing w:after="0" w:line="246"/>
            </w:pPr>
            <w:r>
              <w:rPr>
                <w:b/>
                <w:bCs/>
                <w:color w:val="FFFFFF"/>
                <w:sz w:val="17"/>
                <w:szCs w:val="17"/>
              </w:rPr>
              <w:t xml:space="preserve">Excellence</w:t>
            </w:r>
          </w:p>
        </w:tc>
      </w:tr>
      <w:tr>
        <w:tc>
          <w:tcPr>
            <w:tcW w:type="dxa" w:w="3200"/>
            <w:shd w:fill="FFFFFF" w:color="auto" w:val="clear"/>
            <w:tcMar>
              <w:top w:type="dxa" w:w="55"/>
              <w:left w:type="dxa" w:w="90"/>
              <w:bottom w:type="dxa" w:w="55"/>
              <w:right w:type="dxa" w:w="90"/>
            </w:tcMar>
          </w:tcPr>
          <w:p>
            <w:pPr>
              <w:spacing w:after="0" w:line="246"/>
            </w:pPr>
            <w:r>
              <w:rPr>
                <w:color w:val="1B1A18"/>
                <w:sz w:val="17"/>
                <w:szCs w:val="17"/>
              </w:rPr>
              <w:t xml:space="preserve">Legal argument</w:t>
            </w:r>
          </w:p>
        </w:tc>
        <w:tc>
          <w:tcPr>
            <w:tcW w:type="dxa" w:w="1200"/>
            <w:shd w:fill="FFFFFF" w:color="auto" w:val="clear"/>
            <w:tcMar>
              <w:top w:type="dxa" w:w="55"/>
              <w:left w:type="dxa" w:w="90"/>
              <w:bottom w:type="dxa" w:w="55"/>
              <w:right w:type="dxa" w:w="90"/>
            </w:tcMar>
          </w:tcPr>
          <w:p>
            <w:pPr>
              <w:spacing w:after="0" w:line="246"/>
            </w:pPr>
            <w:r>
              <w:rPr>
                <w:color w:val="1B1A18"/>
                <w:sz w:val="17"/>
                <w:szCs w:val="17"/>
              </w:rPr>
              <w:t xml:space="preserve">35</w:t>
            </w:r>
          </w:p>
        </w:tc>
        <w:tc>
          <w:tcPr>
            <w:tcW w:type="dxa" w:w="5680"/>
            <w:shd w:fill="FFFFFF" w:color="auto" w:val="clear"/>
            <w:tcMar>
              <w:top w:type="dxa" w:w="55"/>
              <w:left w:type="dxa" w:w="90"/>
              <w:bottom w:type="dxa" w:w="55"/>
              <w:right w:type="dxa" w:w="90"/>
            </w:tcMar>
          </w:tcPr>
          <w:p>
            <w:pPr>
              <w:spacing w:after="0" w:line="246"/>
            </w:pPr>
            <w:r>
              <w:rPr>
                <w:color w:val="1B1A18"/>
                <w:sz w:val="17"/>
                <w:szCs w:val="17"/>
              </w:rPr>
              <w:t xml:space="preserve">Original, well-supported thesis engaging primary sources; doctrine handled correctly</w:t>
            </w:r>
          </w:p>
        </w:tc>
      </w:tr>
      <w:tr>
        <w:tc>
          <w:tcPr>
            <w:tcW w:type="dxa" w:w="3200"/>
            <w:shd w:fill="F4F2EE" w:color="auto" w:val="clear"/>
            <w:tcMar>
              <w:top w:type="dxa" w:w="55"/>
              <w:left w:type="dxa" w:w="90"/>
              <w:bottom w:type="dxa" w:w="55"/>
              <w:right w:type="dxa" w:w="90"/>
            </w:tcMar>
          </w:tcPr>
          <w:p>
            <w:pPr>
              <w:spacing w:after="0" w:line="246"/>
            </w:pPr>
            <w:r>
              <w:rPr>
                <w:color w:val="1B1A18"/>
                <w:sz w:val="17"/>
                <w:szCs w:val="17"/>
              </w:rPr>
              <w:t xml:space="preserve">Use of the framework</w:t>
            </w:r>
          </w:p>
        </w:tc>
        <w:tc>
          <w:tcPr>
            <w:tcW w:type="dxa" w:w="1200"/>
            <w:shd w:fill="F4F2EE" w:color="auto" w:val="clear"/>
            <w:tcMar>
              <w:top w:type="dxa" w:w="55"/>
              <w:left w:type="dxa" w:w="90"/>
              <w:bottom w:type="dxa" w:w="55"/>
              <w:right w:type="dxa" w:w="90"/>
            </w:tcMar>
          </w:tcPr>
          <w:p>
            <w:pPr>
              <w:spacing w:after="0" w:line="246"/>
            </w:pPr>
            <w:r>
              <w:rPr>
                <w:color w:val="1B1A18"/>
                <w:sz w:val="17"/>
                <w:szCs w:val="17"/>
              </w:rPr>
              <w:t xml:space="preserve">20</w:t>
            </w:r>
          </w:p>
        </w:tc>
        <w:tc>
          <w:tcPr>
            <w:tcW w:type="dxa" w:w="5680"/>
            <w:shd w:fill="F4F2EE" w:color="auto" w:val="clear"/>
            <w:tcMar>
              <w:top w:type="dxa" w:w="55"/>
              <w:left w:type="dxa" w:w="90"/>
              <w:bottom w:type="dxa" w:w="55"/>
              <w:right w:type="dxa" w:w="90"/>
            </w:tcMar>
          </w:tcPr>
          <w:p>
            <w:pPr>
              <w:spacing w:after="0" w:line="246"/>
            </w:pPr>
            <w:r>
              <w:rPr>
                <w:color w:val="1B1A18"/>
                <w:sz w:val="17"/>
                <w:szCs w:val="17"/>
              </w:rPr>
              <w:t xml:space="preserve">The custody lens genuinely advances the analysis; register handled precisely</w:t>
            </w:r>
          </w:p>
        </w:tc>
      </w:tr>
      <w:tr>
        <w:tc>
          <w:tcPr>
            <w:tcW w:type="dxa" w:w="3200"/>
            <w:shd w:fill="FFFFFF" w:color="auto" w:val="clear"/>
            <w:tcMar>
              <w:top w:type="dxa" w:w="55"/>
              <w:left w:type="dxa" w:w="90"/>
              <w:bottom w:type="dxa" w:w="55"/>
              <w:right w:type="dxa" w:w="90"/>
            </w:tcMar>
          </w:tcPr>
          <w:p>
            <w:pPr>
              <w:spacing w:after="0" w:line="246"/>
            </w:pPr>
            <w:r>
              <w:rPr>
                <w:color w:val="1B1A18"/>
                <w:sz w:val="17"/>
                <w:szCs w:val="17"/>
              </w:rPr>
              <w:t xml:space="preserve">Rigour &amp; honesty</w:t>
            </w:r>
          </w:p>
        </w:tc>
        <w:tc>
          <w:tcPr>
            <w:tcW w:type="dxa" w:w="1200"/>
            <w:shd w:fill="FFFFFF" w:color="auto" w:val="clear"/>
            <w:tcMar>
              <w:top w:type="dxa" w:w="55"/>
              <w:left w:type="dxa" w:w="90"/>
              <w:bottom w:type="dxa" w:w="55"/>
              <w:right w:type="dxa" w:w="90"/>
            </w:tcMar>
          </w:tcPr>
          <w:p>
            <w:pPr>
              <w:spacing w:after="0" w:line="246"/>
            </w:pPr>
            <w:r>
              <w:rPr>
                <w:color w:val="1B1A18"/>
                <w:sz w:val="17"/>
                <w:szCs w:val="17"/>
              </w:rPr>
              <w:t xml:space="preserve">20</w:t>
            </w:r>
          </w:p>
        </w:tc>
        <w:tc>
          <w:tcPr>
            <w:tcW w:type="dxa" w:w="5680"/>
            <w:shd w:fill="FFFFFF" w:color="auto" w:val="clear"/>
            <w:tcMar>
              <w:top w:type="dxa" w:w="55"/>
              <w:left w:type="dxa" w:w="90"/>
              <w:bottom w:type="dxa" w:w="55"/>
              <w:right w:type="dxa" w:w="90"/>
            </w:tcMar>
          </w:tcPr>
          <w:p>
            <w:pPr>
              <w:spacing w:after="0" w:line="246"/>
            </w:pPr>
            <w:r>
              <w:rPr>
                <w:color w:val="1B1A18"/>
                <w:sz w:val="17"/>
                <w:szCs w:val="17"/>
              </w:rPr>
              <w:t xml:space="preserve">Counter-arguments met; limits acknowledged; no overclaiming</w:t>
            </w:r>
          </w:p>
        </w:tc>
      </w:tr>
      <w:tr>
        <w:tc>
          <w:tcPr>
            <w:tcW w:type="dxa" w:w="3200"/>
            <w:shd w:fill="F4F2EE" w:color="auto" w:val="clear"/>
            <w:tcMar>
              <w:top w:type="dxa" w:w="55"/>
              <w:left w:type="dxa" w:w="90"/>
              <w:bottom w:type="dxa" w:w="55"/>
              <w:right w:type="dxa" w:w="90"/>
            </w:tcMar>
          </w:tcPr>
          <w:p>
            <w:pPr>
              <w:spacing w:after="0" w:line="246"/>
            </w:pPr>
            <w:r>
              <w:rPr>
                <w:color w:val="1B1A18"/>
                <w:sz w:val="17"/>
                <w:szCs w:val="17"/>
              </w:rPr>
              <w:t xml:space="preserve">Research &amp; sourcing</w:t>
            </w:r>
          </w:p>
        </w:tc>
        <w:tc>
          <w:tcPr>
            <w:tcW w:type="dxa" w:w="1200"/>
            <w:shd w:fill="F4F2EE" w:color="auto" w:val="clear"/>
            <w:tcMar>
              <w:top w:type="dxa" w:w="55"/>
              <w:left w:type="dxa" w:w="90"/>
              <w:bottom w:type="dxa" w:w="55"/>
              <w:right w:type="dxa" w:w="90"/>
            </w:tcMar>
          </w:tcPr>
          <w:p>
            <w:pPr>
              <w:spacing w:after="0" w:line="246"/>
            </w:pPr>
            <w:r>
              <w:rPr>
                <w:color w:val="1B1A18"/>
                <w:sz w:val="17"/>
                <w:szCs w:val="17"/>
              </w:rPr>
              <w:t xml:space="preserve">15</w:t>
            </w:r>
          </w:p>
        </w:tc>
        <w:tc>
          <w:tcPr>
            <w:tcW w:type="dxa" w:w="5680"/>
            <w:shd w:fill="F4F2EE" w:color="auto" w:val="clear"/>
            <w:tcMar>
              <w:top w:type="dxa" w:w="55"/>
              <w:left w:type="dxa" w:w="90"/>
              <w:bottom w:type="dxa" w:w="55"/>
              <w:right w:type="dxa" w:w="90"/>
            </w:tcMar>
          </w:tcPr>
          <w:p>
            <w:pPr>
              <w:spacing w:after="0" w:line="246"/>
            </w:pPr>
            <w:r>
              <w:rPr>
                <w:color w:val="1B1A18"/>
                <w:sz w:val="17"/>
                <w:szCs w:val="17"/>
              </w:rPr>
              <w:t xml:space="preserve">Thorough, accurate, primary-source-based citation</w:t>
            </w:r>
          </w:p>
        </w:tc>
      </w:tr>
      <w:tr>
        <w:tc>
          <w:tcPr>
            <w:tcW w:type="dxa" w:w="3200"/>
            <w:shd w:fill="FFFFFF" w:color="auto" w:val="clear"/>
            <w:tcMar>
              <w:top w:type="dxa" w:w="55"/>
              <w:left w:type="dxa" w:w="90"/>
              <w:bottom w:type="dxa" w:w="55"/>
              <w:right w:type="dxa" w:w="90"/>
            </w:tcMar>
          </w:tcPr>
          <w:p>
            <w:pPr>
              <w:spacing w:after="0" w:line="246"/>
            </w:pPr>
            <w:r>
              <w:rPr>
                <w:color w:val="1B1A18"/>
                <w:sz w:val="17"/>
                <w:szCs w:val="17"/>
              </w:rPr>
              <w:t xml:space="preserve">Structure &amp; writing</w:t>
            </w:r>
          </w:p>
        </w:tc>
        <w:tc>
          <w:tcPr>
            <w:tcW w:type="dxa" w:w="1200"/>
            <w:shd w:fill="FFFFFF" w:color="auto" w:val="clear"/>
            <w:tcMar>
              <w:top w:type="dxa" w:w="55"/>
              <w:left w:type="dxa" w:w="90"/>
              <w:bottom w:type="dxa" w:w="55"/>
              <w:right w:type="dxa" w:w="90"/>
            </w:tcMar>
          </w:tcPr>
          <w:p>
            <w:pPr>
              <w:spacing w:after="0" w:line="246"/>
            </w:pPr>
            <w:r>
              <w:rPr>
                <w:color w:val="1B1A18"/>
                <w:sz w:val="17"/>
                <w:szCs w:val="17"/>
              </w:rPr>
              <w:t xml:space="preserve">10</w:t>
            </w:r>
          </w:p>
        </w:tc>
        <w:tc>
          <w:tcPr>
            <w:tcW w:type="dxa" w:w="5680"/>
            <w:shd w:fill="FFFFFF" w:color="auto" w:val="clear"/>
            <w:tcMar>
              <w:top w:type="dxa" w:w="55"/>
              <w:left w:type="dxa" w:w="90"/>
              <w:bottom w:type="dxa" w:w="55"/>
              <w:right w:type="dxa" w:w="90"/>
            </w:tcMar>
          </w:tcPr>
          <w:p>
            <w:pPr>
              <w:spacing w:after="0" w:line="246"/>
            </w:pPr>
            <w:r>
              <w:rPr>
                <w:color w:val="1B1A18"/>
                <w:sz w:val="17"/>
                <w:szCs w:val="17"/>
              </w:rPr>
              <w:t xml:space="preserve">Clear, disciplined scholarly prose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color w:val="6E6A62"/>
        <w:sz w:val="16"/>
        <w:szCs w:val="16"/>
      </w:rPr>
      <w:t xml:space="preserve">Law of the Agentic Enterprise · educational, not legal advice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Assignments &amp; Rubrics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 w:type="paragraph" w:styleId="Heading3">
    <w:name w:val="Heading 3"/>
    <w:basedOn w:val="Normal"/>
    <w:next w:val="Normal"/>
    <w:qFormat/>
    <w:rPr>
      <w:rFonts w:ascii="Georgia" w:cs="Georgia" w:eastAsia="Georgia" w:hAnsi="Georgia"/>
      <w:b/>
      <w:bCs/>
      <w:color w:val="5753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 the Agentic Enterprise — Assignments &amp; Rubrics</dc:title>
  <dc:creator>MudoZangl — Law of the Agentic Enterprise</dc:creator>
  <cp:lastModifiedBy>Un-named</cp:lastModifiedBy>
  <cp:revision>1</cp:revision>
  <dcterms:created xsi:type="dcterms:W3CDTF">2026-08-17T11:48:19.700Z</dcterms:created>
  <dcterms:modified xsi:type="dcterms:W3CDTF">2026-08-17T11:48:19.700Z</dcterms:modified>
</cp:coreProperties>
</file>

<file path=docProps/custom.xml><?xml version="1.0" encoding="utf-8"?>
<Properties xmlns="http://schemas.openxmlformats.org/officeDocument/2006/custom-properties" xmlns:vt="http://schemas.openxmlformats.org/officeDocument/2006/docPropsVTypes"/>
</file>