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40"/>
      </w:pPr>
      <w:r>
        <w:rPr>
          <w:b/>
          <w:bCs/>
          <w:caps/>
          <w:color w:val="33302B"/>
          <w:spacing w:val="40"/>
          <w:sz w:val="21"/>
          <w:szCs w:val="21"/>
        </w:rPr>
        <w:t xml:space="preserve">Casebook</w:t>
      </w:r>
    </w:p>
    <w:p>
      <w:pPr>
        <w:pBdr>
          <w:bottom w:val="single" w:color="33302B" w:sz="12"/>
        </w:pBdr>
        <w:spacing w:after="120"/>
      </w:pPr>
      <w:r>
        <w:rPr>
          <w:b/>
          <w:bCs/>
          <w:color w:val="1B1A18"/>
          <w:sz w:val="43"/>
          <w:szCs w:val="43"/>
        </w:rPr>
        <w:t xml:space="preserve">Casebook &amp; Course Materials</w:t>
      </w:r>
    </w:p>
    <w:p>
      <w:pPr>
        <w:spacing w:after="260" w:before="140"/>
      </w:pPr>
      <w:r>
        <w:rPr>
          <w:i/>
          <w:iCs/>
          <w:color w:val="6E6A62"/>
          <w:sz w:val="22"/>
          <w:szCs w:val="22"/>
        </w:rPr>
        <w:t xml:space="preserve">Duty map · case records (with register noted) · doctrinal notes · the evaluation toolkit</w:t>
      </w:r>
    </w:p>
    <w:p>
      <w:pPr>
        <w:spacing w:after="40" w:line="276"/>
      </w:pPr>
      <w:r>
        <w:rPr>
          <w:b/>
          <w:bCs/>
          <w:color w:val="1B1A18"/>
          <w:sz w:val="20"/>
          <w:szCs w:val="20"/>
        </w:rPr>
        <w:t xml:space="preserve">Course: </w:t>
      </w:r>
      <w:r>
        <w:rPr>
          <w:color w:val="1B1A18"/>
          <w:sz w:val="20"/>
          <w:szCs w:val="20"/>
        </w:rPr>
        <w:t xml:space="preserve">Law of the Agentic Enterprise (JD / LLM graduate seminar; adaptable as advanced CLE)</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22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pBdr>
          <w:top w:val="single" w:color="D6D2C9" w:sz="4"/>
          <w:bottom w:val="single" w:color="D6D2C9" w:sz="4"/>
          <w:left w:val="single" w:color="8A8378" w:sz="12"/>
          <w:right w:val="single" w:color="D6D2C9" w:sz="4"/>
        </w:pBdr>
        <w:spacing w:after="200" w:before="60" w:line="264"/>
        <w:ind w:left="160" w:right="160"/>
      </w:pPr>
      <w:r>
        <w:rPr>
          <w:b/>
          <w:bCs/>
          <w:color w:val="8A8378"/>
          <w:sz w:val="18"/>
          <w:szCs w:val="18"/>
        </w:rPr>
        <w:t xml:space="preserve">Educational material for legal study — not legal advice.  </w:t>
      </w:r>
      <w:r>
        <w:rPr>
          <w:color w:val="1B1A18"/>
          <w:sz w:val="17"/>
          <w:szCs w:val="17"/>
        </w:rPr>
        <w:t xml:space="preserve">This course applies an analytical framework (from the book) to legal questions raised by agentic AI. It is not legal advice and does not state the law of any jurisdiction; doctrines of agency, evidence, data protection, and professional responsibility vary by jurisdiction and change over time. Case summaries are simplified for teaching — read the primary sources. Verify every rule, citation, and figure against the law in force where you practise. Figures are stated as at mid-2026 and will age.</w:t>
      </w:r>
    </w:p>
    <w:p>
      <w:pPr>
        <w:spacing w:after="110" w:line="276"/>
      </w:pPr>
      <w:r>
        <w:rPr>
          <w:i/>
          <w:iCs/>
          <w:color w:val="6E6A62"/>
          <w:sz w:val="20"/>
          <w:szCs w:val="20"/>
        </w:rPr>
        <w:t xml:space="preserve">This volume supports the seminar. Part A maps the six properties to families of legal duty. Part B is the casebook — real records, each tagged by evidential register (adjudicated, regulator action, company-acknowledged, or security demonstration) and read for its doctrine. Part C gives short doctrinal notes for each part of the course. Part D is the evaluation toolkit as legal due diligence.</w:t>
      </w:r>
    </w:p>
    <w:p>
      <w:r>
        <w:br w:type="page"/>
      </w:r>
    </w:p>
    <w:p>
      <w:pPr>
        <w:pStyle w:val="Heading1"/>
        <w:spacing w:after="130" w:before="300"/>
      </w:pPr>
      <w:r>
        <w:rPr>
          <w:b/>
          <w:bCs/>
          <w:color w:val="33302B"/>
          <w:sz w:val="29"/>
          <w:szCs w:val="29"/>
        </w:rPr>
        <w:t xml:space="preserve">Part A — The six properties as families of legal duty</w:t>
      </w:r>
    </w:p>
    <w:p>
      <w:pPr>
        <w:spacing w:after="110" w:line="276"/>
      </w:pPr>
      <w:r>
        <w:rPr>
          <w:color w:val="1B1A18"/>
          <w:sz w:val="20"/>
          <w:szCs w:val="20"/>
        </w:rPr>
        <w:t xml:space="preserve">Illustrative correspondences to orient the reader — not statements of law. Ground each in the instruments in force in your jurisdiction.</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4780"/>
        <w:gridCol w:w="3200"/>
      </w:tblGrid>
      <w:tr>
        <w:trPr>
          <w:tblHeader/>
        </w:trPr>
        <w:tc>
          <w:tcPr>
            <w:tcW w:type="dxa" w:w="2100"/>
            <w:shd w:fill="33302B" w:color="auto" w:val="clear"/>
            <w:tcMar>
              <w:top w:type="dxa" w:w="55"/>
              <w:left w:type="dxa" w:w="90"/>
              <w:bottom w:type="dxa" w:w="55"/>
              <w:right w:type="dxa" w:w="90"/>
            </w:tcMar>
          </w:tcPr>
          <w:p>
            <w:pPr>
              <w:spacing w:after="0" w:line="246"/>
            </w:pPr>
            <w:r>
              <w:rPr>
                <w:b/>
                <w:bCs/>
                <w:color w:val="FFFFFF"/>
                <w:sz w:val="17"/>
                <w:szCs w:val="17"/>
              </w:rPr>
              <w:t xml:space="preserve">Property</w:t>
            </w:r>
          </w:p>
        </w:tc>
        <w:tc>
          <w:tcPr>
            <w:tcW w:type="dxa" w:w="4780"/>
            <w:shd w:fill="33302B" w:color="auto" w:val="clear"/>
            <w:tcMar>
              <w:top w:type="dxa" w:w="55"/>
              <w:left w:type="dxa" w:w="90"/>
              <w:bottom w:type="dxa" w:w="55"/>
              <w:right w:type="dxa" w:w="90"/>
            </w:tcMar>
          </w:tcPr>
          <w:p>
            <w:pPr>
              <w:spacing w:after="0" w:line="246"/>
            </w:pPr>
            <w:r>
              <w:rPr>
                <w:b/>
                <w:bCs/>
                <w:color w:val="FFFFFF"/>
                <w:sz w:val="17"/>
                <w:szCs w:val="17"/>
              </w:rPr>
              <w:t xml:space="preserve">Duty family (illustrative)</w:t>
            </w:r>
          </w:p>
        </w:tc>
        <w:tc>
          <w:tcPr>
            <w:tcW w:type="dxa" w:w="3200"/>
            <w:shd w:fill="33302B" w:color="auto" w:val="clear"/>
            <w:tcMar>
              <w:top w:type="dxa" w:w="55"/>
              <w:left w:type="dxa" w:w="90"/>
              <w:bottom w:type="dxa" w:w="55"/>
              <w:right w:type="dxa" w:w="90"/>
            </w:tcMar>
          </w:tcPr>
          <w:p>
            <w:pPr>
              <w:spacing w:after="0" w:line="246"/>
            </w:pPr>
            <w:r>
              <w:rPr>
                <w:b/>
                <w:bCs/>
                <w:color w:val="FFFFFF"/>
                <w:sz w:val="17"/>
                <w:szCs w:val="17"/>
              </w:rPr>
              <w:t xml:space="preserve">Characteristic breach</w:t>
            </w:r>
          </w:p>
        </w:tc>
      </w:tr>
      <w:tr>
        <w:tc>
          <w:tcPr>
            <w:tcW w:type="dxa" w:w="2100"/>
            <w:shd w:fill="FFFFFF" w:color="auto" w:val="clear"/>
            <w:tcMar>
              <w:top w:type="dxa" w:w="55"/>
              <w:left w:type="dxa" w:w="90"/>
              <w:bottom w:type="dxa" w:w="55"/>
              <w:right w:type="dxa" w:w="90"/>
            </w:tcMar>
          </w:tcPr>
          <w:p>
            <w:pPr>
              <w:spacing w:after="0" w:line="246"/>
            </w:pPr>
            <w:r>
              <w:rPr>
                <w:color w:val="1B1A18"/>
                <w:sz w:val="17"/>
                <w:szCs w:val="17"/>
              </w:rPr>
              <w:t xml:space="preserve">Context</w:t>
            </w:r>
          </w:p>
        </w:tc>
        <w:tc>
          <w:tcPr>
            <w:tcW w:type="dxa" w:w="4780"/>
            <w:shd w:fill="FFFFFF" w:color="auto" w:val="clear"/>
            <w:tcMar>
              <w:top w:type="dxa" w:w="55"/>
              <w:left w:type="dxa" w:w="90"/>
              <w:bottom w:type="dxa" w:w="55"/>
              <w:right w:type="dxa" w:w="90"/>
            </w:tcMar>
          </w:tcPr>
          <w:p>
            <w:pPr>
              <w:spacing w:after="0" w:line="246"/>
            </w:pPr>
            <w:r>
              <w:rPr>
                <w:color w:val="1B1A18"/>
                <w:sz w:val="17"/>
                <w:szCs w:val="17"/>
              </w:rPr>
              <w:t xml:space="preserve">Disclosure, suitability, materiality, informed consent</w:t>
            </w:r>
          </w:p>
        </w:tc>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The meaning error — accurate data, wrong significance</w:t>
            </w:r>
          </w:p>
        </w:tc>
      </w:tr>
      <w:tr>
        <w:tc>
          <w:tcPr>
            <w:tcW w:type="dxa" w:w="2100"/>
            <w:shd w:fill="F4F2EE" w:color="auto" w:val="clear"/>
            <w:tcMar>
              <w:top w:type="dxa" w:w="55"/>
              <w:left w:type="dxa" w:w="90"/>
              <w:bottom w:type="dxa" w:w="55"/>
              <w:right w:type="dxa" w:w="90"/>
            </w:tcMar>
          </w:tcPr>
          <w:p>
            <w:pPr>
              <w:spacing w:after="0" w:line="246"/>
            </w:pPr>
            <w:r>
              <w:rPr>
                <w:color w:val="1B1A18"/>
                <w:sz w:val="17"/>
                <w:szCs w:val="17"/>
              </w:rPr>
              <w:t xml:space="preserve">Authority</w:t>
            </w:r>
          </w:p>
        </w:tc>
        <w:tc>
          <w:tcPr>
            <w:tcW w:type="dxa" w:w="4780"/>
            <w:shd w:fill="F4F2EE" w:color="auto" w:val="clear"/>
            <w:tcMar>
              <w:top w:type="dxa" w:w="55"/>
              <w:left w:type="dxa" w:w="90"/>
              <w:bottom w:type="dxa" w:w="55"/>
              <w:right w:type="dxa" w:w="90"/>
            </w:tcMar>
          </w:tcPr>
          <w:p>
            <w:pPr>
              <w:spacing w:after="0" w:line="246"/>
            </w:pPr>
            <w:r>
              <w:rPr>
                <w:color w:val="1B1A18"/>
                <w:sz w:val="17"/>
                <w:szCs w:val="17"/>
              </w:rPr>
              <w:t xml:space="preserve">Agency, authorisation, mandate, delegated powers</w:t>
            </w:r>
          </w:p>
        </w:tc>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An act with authority no one lawfully conferred</w:t>
            </w:r>
          </w:p>
        </w:tc>
      </w:tr>
      <w:tr>
        <w:tc>
          <w:tcPr>
            <w:tcW w:type="dxa" w:w="2100"/>
            <w:shd w:fill="FFFFFF" w:color="auto" w:val="clear"/>
            <w:tcMar>
              <w:top w:type="dxa" w:w="55"/>
              <w:left w:type="dxa" w:w="90"/>
              <w:bottom w:type="dxa" w:w="55"/>
              <w:right w:type="dxa" w:w="90"/>
            </w:tcMar>
          </w:tcPr>
          <w:p>
            <w:pPr>
              <w:spacing w:after="0" w:line="246"/>
            </w:pPr>
            <w:r>
              <w:rPr>
                <w:color w:val="1B1A18"/>
                <w:sz w:val="17"/>
                <w:szCs w:val="17"/>
              </w:rPr>
              <w:t xml:space="preserve">Accountability</w:t>
            </w:r>
          </w:p>
        </w:tc>
        <w:tc>
          <w:tcPr>
            <w:tcW w:type="dxa" w:w="4780"/>
            <w:shd w:fill="FFFFFF" w:color="auto" w:val="clear"/>
            <w:tcMar>
              <w:top w:type="dxa" w:w="55"/>
              <w:left w:type="dxa" w:w="90"/>
              <w:bottom w:type="dxa" w:w="55"/>
              <w:right w:type="dxa" w:w="90"/>
            </w:tcMar>
          </w:tcPr>
          <w:p>
            <w:pPr>
              <w:spacing w:after="0" w:line="246"/>
            </w:pPr>
            <w:r>
              <w:rPr>
                <w:color w:val="1B1A18"/>
                <w:sz w:val="17"/>
                <w:szCs w:val="17"/>
              </w:rPr>
              <w:t xml:space="preserve">Record-keeping, auditability, individual accountability</w:t>
            </w:r>
          </w:p>
        </w:tc>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Attribution only by after-the-fact investigation</w:t>
            </w:r>
          </w:p>
        </w:tc>
      </w:tr>
      <w:tr>
        <w:tc>
          <w:tcPr>
            <w:tcW w:type="dxa" w:w="2100"/>
            <w:shd w:fill="F4F2EE" w:color="auto" w:val="clear"/>
            <w:tcMar>
              <w:top w:type="dxa" w:w="55"/>
              <w:left w:type="dxa" w:w="90"/>
              <w:bottom w:type="dxa" w:w="55"/>
              <w:right w:type="dxa" w:w="90"/>
            </w:tcMar>
          </w:tcPr>
          <w:p>
            <w:pPr>
              <w:spacing w:after="0" w:line="246"/>
            </w:pPr>
            <w:r>
              <w:rPr>
                <w:color w:val="1B1A18"/>
                <w:sz w:val="17"/>
                <w:szCs w:val="17"/>
              </w:rPr>
              <w:t xml:space="preserve">Coordination</w:t>
            </w:r>
          </w:p>
        </w:tc>
        <w:tc>
          <w:tcPr>
            <w:tcW w:type="dxa" w:w="4780"/>
            <w:shd w:fill="F4F2EE" w:color="auto" w:val="clear"/>
            <w:tcMar>
              <w:top w:type="dxa" w:w="55"/>
              <w:left w:type="dxa" w:w="90"/>
              <w:bottom w:type="dxa" w:w="55"/>
              <w:right w:type="dxa" w:w="90"/>
            </w:tcMar>
          </w:tcPr>
          <w:p>
            <w:pPr>
              <w:spacing w:after="0" w:line="246"/>
            </w:pPr>
            <w:r>
              <w:rPr>
                <w:color w:val="1B1A18"/>
                <w:sz w:val="17"/>
                <w:szCs w:val="17"/>
              </w:rPr>
              <w:t xml:space="preserve">Adequate systems and controls; operational resilience</w:t>
            </w:r>
          </w:p>
        </w:tc>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Each unit compliant; the institution, in aggregate, not</w:t>
            </w:r>
          </w:p>
        </w:tc>
      </w:tr>
      <w:tr>
        <w:tc>
          <w:tcPr>
            <w:tcW w:type="dxa" w:w="2100"/>
            <w:shd w:fill="FFFFFF" w:color="auto" w:val="clear"/>
            <w:tcMar>
              <w:top w:type="dxa" w:w="55"/>
              <w:left w:type="dxa" w:w="90"/>
              <w:bottom w:type="dxa" w:w="55"/>
              <w:right w:type="dxa" w:w="90"/>
            </w:tcMar>
          </w:tcPr>
          <w:p>
            <w:pPr>
              <w:spacing w:after="0" w:line="246"/>
            </w:pPr>
            <w:r>
              <w:rPr>
                <w:color w:val="1B1A18"/>
                <w:sz w:val="17"/>
                <w:szCs w:val="17"/>
              </w:rPr>
              <w:t xml:space="preserve">Execution coherence</w:t>
            </w:r>
          </w:p>
        </w:tc>
        <w:tc>
          <w:tcPr>
            <w:tcW w:type="dxa" w:w="4780"/>
            <w:shd w:fill="FFFFFF" w:color="auto" w:val="clear"/>
            <w:tcMar>
              <w:top w:type="dxa" w:w="55"/>
              <w:left w:type="dxa" w:w="90"/>
              <w:bottom w:type="dxa" w:w="55"/>
              <w:right w:type="dxa" w:w="90"/>
            </w:tcMar>
          </w:tcPr>
          <w:p>
            <w:pPr>
              <w:spacing w:after="0" w:line="246"/>
            </w:pPr>
            <w:r>
              <w:rPr>
                <w:color w:val="1B1A18"/>
                <w:sz w:val="17"/>
                <w:szCs w:val="17"/>
              </w:rPr>
              <w:t xml:space="preserve">Mandatory-rule compliance; sanctions; non-discrimination</w:t>
            </w:r>
          </w:p>
        </w:tc>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A rule enforced at some entry points and not others</w:t>
            </w:r>
          </w:p>
        </w:tc>
      </w:tr>
      <w:tr>
        <w:tc>
          <w:tcPr>
            <w:tcW w:type="dxa" w:w="2100"/>
            <w:shd w:fill="F4F2EE" w:color="auto" w:val="clear"/>
            <w:tcMar>
              <w:top w:type="dxa" w:w="55"/>
              <w:left w:type="dxa" w:w="90"/>
              <w:bottom w:type="dxa" w:w="55"/>
              <w:right w:type="dxa" w:w="90"/>
            </w:tcMar>
          </w:tcPr>
          <w:p>
            <w:pPr>
              <w:spacing w:after="0" w:line="246"/>
            </w:pPr>
            <w:r>
              <w:rPr>
                <w:color w:val="1B1A18"/>
                <w:sz w:val="17"/>
                <w:szCs w:val="17"/>
              </w:rPr>
              <w:t xml:space="preserve">Institutional memory</w:t>
            </w:r>
          </w:p>
        </w:tc>
        <w:tc>
          <w:tcPr>
            <w:tcW w:type="dxa" w:w="4780"/>
            <w:shd w:fill="F4F2EE" w:color="auto" w:val="clear"/>
            <w:tcMar>
              <w:top w:type="dxa" w:w="55"/>
              <w:left w:type="dxa" w:w="90"/>
              <w:bottom w:type="dxa" w:w="55"/>
              <w:right w:type="dxa" w:w="90"/>
            </w:tcMar>
          </w:tcPr>
          <w:p>
            <w:pPr>
              <w:spacing w:after="0" w:line="246"/>
            </w:pPr>
            <w:r>
              <w:rPr>
                <w:color w:val="1B1A18"/>
                <w:sz w:val="17"/>
                <w:szCs w:val="17"/>
              </w:rPr>
              <w:t xml:space="preserve">Record retention; evidential integrity; data governance</w:t>
            </w:r>
          </w:p>
        </w:tc>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Records no one can independently trust</w:t>
            </w:r>
          </w:p>
        </w:tc>
      </w:tr>
    </w:tbl>
    <w:p>
      <w:r>
        <w:br w:type="page"/>
      </w:r>
    </w:p>
    <w:p>
      <w:pPr>
        <w:pStyle w:val="Heading1"/>
        <w:spacing w:after="130" w:before="300"/>
      </w:pPr>
      <w:r>
        <w:rPr>
          <w:b/>
          <w:bCs/>
          <w:color w:val="33302B"/>
          <w:sz w:val="29"/>
          <w:szCs w:val="29"/>
        </w:rPr>
        <w:t xml:space="preserve">Part B — Casebook</w:t>
      </w:r>
    </w:p>
    <w:p>
      <w:pPr>
        <w:spacing w:after="110" w:line="276"/>
      </w:pPr>
      <w:r>
        <w:rPr>
          <w:i/>
          <w:iCs/>
          <w:color w:val="6E6A62"/>
          <w:sz w:val="20"/>
          <w:szCs w:val="20"/>
        </w:rPr>
        <w:t xml:space="preserve">Each record is tagged by register. Adjudicated outcomes bind; regulator actions are enforcement; company-acknowledged incidents are admissions of fact reported at the time; security demonstrations show capability, not liability. Keep the distinction sharp — it is itself a lesson in legal reasoning.</w:t>
      </w:r>
    </w:p>
    <w:p>
      <w:pPr>
        <w:pStyle w:val="Heading2"/>
        <w:spacing w:after="90" w:before="220"/>
      </w:pPr>
      <w:r>
        <w:rPr>
          <w:b/>
          <w:bCs/>
          <w:color w:val="1B1A18"/>
          <w:sz w:val="23"/>
          <w:szCs w:val="23"/>
        </w:rPr>
        <w:t xml:space="preserve">Case 1 — Air Canada v. Moffatt</w:t>
      </w:r>
    </w:p>
    <w:p>
      <w:pPr>
        <w:spacing w:after="40" w:line="276"/>
      </w:pPr>
      <w:r>
        <w:rPr>
          <w:b/>
          <w:bCs/>
          <w:color w:val="57534A"/>
          <w:sz w:val="20"/>
          <w:szCs w:val="20"/>
        </w:rPr>
        <w:t xml:space="preserve">Register:  </w:t>
      </w:r>
      <w:r>
        <w:rPr>
          <w:color w:val="1B1A18"/>
          <w:sz w:val="20"/>
          <w:szCs w:val="20"/>
        </w:rPr>
        <w:t xml:space="preserve">Adjudicated (tribunal)</w:t>
      </w:r>
    </w:p>
    <w:p>
      <w:pPr>
        <w:spacing w:after="120" w:before="30" w:line="264"/>
      </w:pPr>
      <w:r>
        <w:rPr>
          <w:b/>
          <w:bCs/>
          <w:color w:val="57534A"/>
          <w:sz w:val="17"/>
          <w:szCs w:val="17"/>
        </w:rPr>
        <w:t xml:space="preserve">Citation.  </w:t>
      </w:r>
      <w:r>
        <w:rPr>
          <w:i/>
          <w:iCs/>
          <w:color w:val="6E6A62"/>
          <w:sz w:val="17"/>
          <w:szCs w:val="17"/>
        </w:rPr>
        <w:t xml:space="preserve">Moffatt v. Air Canada, 2024 BCCRT 149 (Civil Resolution Tribunal of British Columbia, 14 Feb 2024).</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The airline’s website chatbot stated a bereavement-fare policy that did not exist; the customer relied on it and sued when refused.</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The airline was liable for its chatbot’s negligent misrepresentation; the ‘separate entity’ argument was rejected (para 27).</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Attribution and agency. An institution answers for its agent’s statements; autonomy does not sever the principal’s responsibility.</w:t>
      </w:r>
    </w:p>
    <w:p>
      <w:r>
        <w:br w:type="page"/>
      </w:r>
    </w:p>
    <w:p>
      <w:pPr>
        <w:pStyle w:val="Heading2"/>
        <w:spacing w:after="90" w:before="220"/>
      </w:pPr>
      <w:r>
        <w:rPr>
          <w:b/>
          <w:bCs/>
          <w:color w:val="1B1A18"/>
          <w:sz w:val="23"/>
          <w:szCs w:val="23"/>
        </w:rPr>
        <w:t xml:space="preserve">Case 2 — Dealership chatbot — the ‘$1 vehicle’</w:t>
      </w:r>
    </w:p>
    <w:p>
      <w:pPr>
        <w:spacing w:after="40" w:line="276"/>
      </w:pPr>
      <w:r>
        <w:rPr>
          <w:b/>
          <w:bCs/>
          <w:color w:val="57534A"/>
          <w:sz w:val="20"/>
          <w:szCs w:val="20"/>
        </w:rPr>
        <w:t xml:space="preserve">Register:  </w:t>
      </w:r>
      <w:r>
        <w:rPr>
          <w:color w:val="1B1A18"/>
          <w:sz w:val="20"/>
          <w:szCs w:val="20"/>
        </w:rPr>
        <w:t xml:space="preserve">Company-acknowledged / documented</w:t>
      </w:r>
    </w:p>
    <w:p>
      <w:pPr>
        <w:spacing w:after="120" w:before="30" w:line="264"/>
      </w:pPr>
      <w:r>
        <w:rPr>
          <w:b/>
          <w:bCs/>
          <w:color w:val="57534A"/>
          <w:sz w:val="17"/>
          <w:szCs w:val="17"/>
        </w:rPr>
        <w:t xml:space="preserve">Citation.  </w:t>
      </w:r>
      <w:r>
        <w:rPr>
          <w:i/>
          <w:iCs/>
          <w:color w:val="6E6A62"/>
          <w:sz w:val="17"/>
          <w:szCs w:val="17"/>
        </w:rPr>
        <w:t xml:space="preserve">Widely reported and documented in contemporaneous transcripts and the AI Incident Database (Dec 2023).</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dealership’s customer-service chatbot was manipulated into ‘agreeing’ to sell a vehicle for $1 and to make binding-sounding statements.</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Not adjudicated; no court has enforced the ‘agreement’. Illustrative of contract-formation and apparent-authority exposure.</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Offer/acceptance and authority. Would any reasonable person believe the bot could bind the dealer? A teaching vehicle for formation and authority, not a holding.</w:t>
      </w:r>
    </w:p>
    <w:p>
      <w:r>
        <w:br w:type="page"/>
      </w:r>
    </w:p>
    <w:p>
      <w:pPr>
        <w:pStyle w:val="Heading2"/>
        <w:spacing w:after="90" w:before="220"/>
      </w:pPr>
      <w:r>
        <w:rPr>
          <w:b/>
          <w:bCs/>
          <w:color w:val="1B1A18"/>
          <w:sz w:val="23"/>
          <w:szCs w:val="23"/>
        </w:rPr>
        <w:t xml:space="preserve">Case 3 — Deleted production database</w:t>
      </w:r>
    </w:p>
    <w:p>
      <w:pPr>
        <w:spacing w:after="40" w:line="276"/>
      </w:pPr>
      <w:r>
        <w:rPr>
          <w:b/>
          <w:bCs/>
          <w:color w:val="57534A"/>
          <w:sz w:val="20"/>
          <w:szCs w:val="20"/>
        </w:rPr>
        <w:t xml:space="preserve">Register:  </w:t>
      </w:r>
      <w:r>
        <w:rPr>
          <w:color w:val="1B1A18"/>
          <w:sz w:val="20"/>
          <w:szCs w:val="20"/>
        </w:rPr>
        <w:t xml:space="preserve">Company-acknowledged</w:t>
      </w:r>
    </w:p>
    <w:p>
      <w:pPr>
        <w:spacing w:after="120" w:before="30" w:line="264"/>
      </w:pPr>
      <w:r>
        <w:rPr>
          <w:b/>
          <w:bCs/>
          <w:color w:val="57534A"/>
          <w:sz w:val="17"/>
          <w:szCs w:val="17"/>
        </w:rPr>
        <w:t xml:space="preserve">Citation.  </w:t>
      </w:r>
      <w:r>
        <w:rPr>
          <w:i/>
          <w:iCs/>
          <w:color w:val="6E6A62"/>
          <w:sz w:val="17"/>
          <w:szCs w:val="17"/>
        </w:rPr>
        <w:t xml:space="preserve">Company chief executive’s public acknowledgement within days of the incident (Jul 2025).</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An AI coding agent deleted a live production database during an automated task, contrary to instructions.</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Reported and acknowledged, not litigated. Illustrates authorisation, supervision, and duty-of-care exposure for agent acts.</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Authority and supervision. An agent granted capabilities it should not have had; the failure is one of conferred authority and control.</w:t>
      </w:r>
    </w:p>
    <w:p>
      <w:r>
        <w:br w:type="page"/>
      </w:r>
    </w:p>
    <w:p>
      <w:pPr>
        <w:pStyle w:val="Heading2"/>
        <w:spacing w:after="90" w:before="220"/>
      </w:pPr>
      <w:r>
        <w:rPr>
          <w:b/>
          <w:bCs/>
          <w:color w:val="1B1A18"/>
          <w:sz w:val="23"/>
          <w:szCs w:val="23"/>
        </w:rPr>
        <w:t xml:space="preserve">Case 4 — AUSTRAC v Commonwealth Bank</w:t>
      </w:r>
    </w:p>
    <w:p>
      <w:pPr>
        <w:spacing w:after="40" w:line="276"/>
      </w:pPr>
      <w:r>
        <w:rPr>
          <w:b/>
          <w:bCs/>
          <w:color w:val="57534A"/>
          <w:sz w:val="20"/>
          <w:szCs w:val="20"/>
        </w:rPr>
        <w:t xml:space="preserve">Register:  </w:t>
      </w:r>
      <w:r>
        <w:rPr>
          <w:color w:val="1B1A18"/>
          <w:sz w:val="20"/>
          <w:szCs w:val="20"/>
        </w:rPr>
        <w:t xml:space="preserve">Regulator action / admitted</w:t>
      </w:r>
    </w:p>
    <w:p>
      <w:pPr>
        <w:spacing w:after="120" w:before="30" w:line="264"/>
      </w:pPr>
      <w:r>
        <w:rPr>
          <w:b/>
          <w:bCs/>
          <w:color w:val="57534A"/>
          <w:sz w:val="17"/>
          <w:szCs w:val="17"/>
        </w:rPr>
        <w:t xml:space="preserve">Citation.  </w:t>
      </w:r>
      <w:r>
        <w:rPr>
          <w:i/>
          <w:iCs/>
          <w:color w:val="6E6A62"/>
          <w:sz w:val="17"/>
          <w:szCs w:val="17"/>
        </w:rPr>
        <w:t xml:space="preserve">AUSTRAC civil proceedings (Federal Court of Australia, filed 3 Aug 2017); agreed A$700M civil penalty approved 4 Jun 2018; APRA Prudential Inquiry (2018).</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coding error meant 53,506 threshold-transaction reports (~A$625M) were filed late over nearly three years.</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The bank admitted contraventions from a single systems error; A$700M penalty; a prudential capital overlay followed.</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Modal obligation and systems-and-controls. A ‘must report’ duty is breached by frequency, not intent; one error, categorical liability.</w:t>
      </w:r>
    </w:p>
    <w:p>
      <w:r>
        <w:br w:type="page"/>
      </w:r>
    </w:p>
    <w:p>
      <w:pPr>
        <w:pStyle w:val="Heading2"/>
        <w:spacing w:after="90" w:before="220"/>
      </w:pPr>
      <w:r>
        <w:rPr>
          <w:b/>
          <w:bCs/>
          <w:color w:val="1B1A18"/>
          <w:sz w:val="23"/>
          <w:szCs w:val="23"/>
        </w:rPr>
        <w:t xml:space="preserve">Case 5 — Citibank / Revlon wire</w:t>
      </w:r>
    </w:p>
    <w:p>
      <w:pPr>
        <w:spacing w:after="40" w:line="276"/>
      </w:pPr>
      <w:r>
        <w:rPr>
          <w:b/>
          <w:bCs/>
          <w:color w:val="57534A"/>
          <w:sz w:val="20"/>
          <w:szCs w:val="20"/>
        </w:rPr>
        <w:t xml:space="preserve">Register:  </w:t>
      </w:r>
      <w:r>
        <w:rPr>
          <w:color w:val="1B1A18"/>
          <w:sz w:val="20"/>
          <w:szCs w:val="20"/>
        </w:rPr>
        <w:t xml:space="preserve">Litigated + regulator penalty</w:t>
      </w:r>
    </w:p>
    <w:p>
      <w:pPr>
        <w:spacing w:after="120" w:before="30" w:line="264"/>
      </w:pPr>
      <w:r>
        <w:rPr>
          <w:b/>
          <w:bCs/>
          <w:color w:val="57534A"/>
          <w:sz w:val="17"/>
          <w:szCs w:val="17"/>
        </w:rPr>
        <w:t xml:space="preserve">Citation.  </w:t>
      </w:r>
      <w:r>
        <w:rPr>
          <w:i/>
          <w:iCs/>
          <w:color w:val="6E6A62"/>
          <w:sz w:val="17"/>
          <w:szCs w:val="17"/>
        </w:rPr>
        <w:t xml:space="preserve">In re Citibank August 11, 2020 Wire Transfers, 520 F. Supp. 3d 390 (S.D.N.Y. 2021), rev’d 49 F.4th 42 (2d Cir. 2022); OCC penalty (Oct 2020).</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Intending an $7.8M payment, the bank wired ~$893M; the error turned on a confusing interface and a manual suppression control.</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Recovery litigation resolved on other grounds; separately a $400M regulatory penalty for risk-management and control deficiencies.</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Context and controls. A control that depends on correct human interpretation of a screen is not, for supervisory purposes, a control.</w:t>
      </w:r>
    </w:p>
    <w:p>
      <w:r>
        <w:br w:type="page"/>
      </w:r>
    </w:p>
    <w:p>
      <w:pPr>
        <w:pStyle w:val="Heading2"/>
        <w:spacing w:after="90" w:before="220"/>
      </w:pPr>
      <w:r>
        <w:rPr>
          <w:b/>
          <w:bCs/>
          <w:color w:val="1B1A18"/>
          <w:sz w:val="23"/>
          <w:szCs w:val="23"/>
        </w:rPr>
        <w:t xml:space="preserve">Case 6 — Post Office / Horizon</w:t>
      </w:r>
    </w:p>
    <w:p>
      <w:pPr>
        <w:spacing w:after="40" w:line="276"/>
      </w:pPr>
      <w:r>
        <w:rPr>
          <w:b/>
          <w:bCs/>
          <w:color w:val="57534A"/>
          <w:sz w:val="20"/>
          <w:szCs w:val="20"/>
        </w:rPr>
        <w:t xml:space="preserve">Register:  </w:t>
      </w:r>
      <w:r>
        <w:rPr>
          <w:color w:val="1B1A18"/>
          <w:sz w:val="20"/>
          <w:szCs w:val="20"/>
        </w:rPr>
        <w:t xml:space="preserve">Adjudicated + statute + inquiry</w:t>
      </w:r>
    </w:p>
    <w:p>
      <w:pPr>
        <w:spacing w:after="120" w:before="30" w:line="264"/>
      </w:pPr>
      <w:r>
        <w:rPr>
          <w:b/>
          <w:bCs/>
          <w:color w:val="57534A"/>
          <w:sz w:val="17"/>
          <w:szCs w:val="17"/>
        </w:rPr>
        <w:t xml:space="preserve">Citation.  </w:t>
      </w:r>
      <w:r>
        <w:rPr>
          <w:i/>
          <w:iCs/>
          <w:color w:val="6E6A62"/>
          <w:sz w:val="17"/>
          <w:szCs w:val="17"/>
        </w:rPr>
        <w:t xml:space="preserve">Hamilton &amp; Others v Post Office Ltd [2021] EWCA Crim 577; Post Office (Horizon System) Offences Act 2024; Horizon IT Inquiry (Sir Wyn Williams, 2025).</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Over a decade, an institution treated its accounting system’s figures as ground truth and prosecuted subpostmasters for shortfalls the system generated; 900+ prosecuted, 236 imprisoned.</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Convictions quashed (39 in 2021; wholesale by statute in 2024); ~£1,628M redress to 12,900+ claimants; a public inquiry.</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Evidence. The danger of a presumption that computer output is reliable; a record that cannot be independently trusted must not carry legal weight.</w:t>
      </w:r>
    </w:p>
    <w:p>
      <w:r>
        <w:br w:type="page"/>
      </w:r>
    </w:p>
    <w:p>
      <w:pPr>
        <w:pStyle w:val="Heading2"/>
        <w:spacing w:after="90" w:before="220"/>
      </w:pPr>
      <w:r>
        <w:rPr>
          <w:b/>
          <w:bCs/>
          <w:color w:val="1B1A18"/>
          <w:sz w:val="23"/>
          <w:szCs w:val="23"/>
        </w:rPr>
        <w:t xml:space="preserve">Case 7 — Schrems II</w:t>
      </w:r>
    </w:p>
    <w:p>
      <w:pPr>
        <w:spacing w:after="40" w:line="276"/>
      </w:pPr>
      <w:r>
        <w:rPr>
          <w:b/>
          <w:bCs/>
          <w:color w:val="57534A"/>
          <w:sz w:val="20"/>
          <w:szCs w:val="20"/>
        </w:rPr>
        <w:t xml:space="preserve">Register:  </w:t>
      </w:r>
      <w:r>
        <w:rPr>
          <w:color w:val="1B1A18"/>
          <w:sz w:val="20"/>
          <w:szCs w:val="20"/>
        </w:rPr>
        <w:t xml:space="preserve">Adjudicated (CJEU)</w:t>
      </w:r>
    </w:p>
    <w:p>
      <w:pPr>
        <w:spacing w:after="120" w:before="30" w:line="264"/>
      </w:pPr>
      <w:r>
        <w:rPr>
          <w:b/>
          <w:bCs/>
          <w:color w:val="57534A"/>
          <w:sz w:val="17"/>
          <w:szCs w:val="17"/>
        </w:rPr>
        <w:t xml:space="preserve">Citation.  </w:t>
      </w:r>
      <w:r>
        <w:rPr>
          <w:i/>
          <w:iCs/>
          <w:color w:val="6E6A62"/>
          <w:sz w:val="17"/>
          <w:szCs w:val="17"/>
        </w:rPr>
        <w:t xml:space="preserve">Court of Justice of the European Union, Case C-311/18, Data Protection Commissioner v Facebook Ireland and Schrems (16 Jul 2020).</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The CJEU invalidated the principal EU–US data-transfer framework; ~5,300 organisations relied on it.</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Transfers had to rest on other mechanisms with additional safeguards, case by case; a successor framework (2023) was challenged.</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Cross-border data and sovereignty. A single legal arrangement can be invalidated overnight — a continuity risk to price and plan for.</w:t>
      </w:r>
    </w:p>
    <w:p>
      <w:r>
        <w:br w:type="page"/>
      </w:r>
    </w:p>
    <w:p>
      <w:pPr>
        <w:pStyle w:val="Heading2"/>
        <w:spacing w:after="90" w:before="220"/>
      </w:pPr>
      <w:r>
        <w:rPr>
          <w:b/>
          <w:bCs/>
          <w:color w:val="1B1A18"/>
          <w:sz w:val="23"/>
          <w:szCs w:val="23"/>
        </w:rPr>
        <w:t xml:space="preserve">Case 8 — National authority suspends an AI service</w:t>
      </w:r>
    </w:p>
    <w:p>
      <w:pPr>
        <w:spacing w:after="40" w:line="276"/>
      </w:pPr>
      <w:r>
        <w:rPr>
          <w:b/>
          <w:bCs/>
          <w:color w:val="57534A"/>
          <w:sz w:val="20"/>
          <w:szCs w:val="20"/>
        </w:rPr>
        <w:t xml:space="preserve">Register:  </w:t>
      </w:r>
      <w:r>
        <w:rPr>
          <w:color w:val="1B1A18"/>
          <w:sz w:val="20"/>
          <w:szCs w:val="20"/>
        </w:rPr>
        <w:t xml:space="preserve">Regulator action</w:t>
      </w:r>
    </w:p>
    <w:p>
      <w:pPr>
        <w:spacing w:after="120" w:before="30" w:line="264"/>
      </w:pPr>
      <w:r>
        <w:rPr>
          <w:b/>
          <w:bCs/>
          <w:color w:val="57534A"/>
          <w:sz w:val="17"/>
          <w:szCs w:val="17"/>
        </w:rPr>
        <w:t xml:space="preserve">Citation.  </w:t>
      </w:r>
      <w:r>
        <w:rPr>
          <w:i/>
          <w:iCs/>
          <w:color w:val="6E6A62"/>
          <w:sz w:val="17"/>
          <w:szCs w:val="17"/>
        </w:rPr>
        <w:t xml:space="preserve">Operator post-mortem (24 Mar 2023); national data-protection authority suspension order (31 Mar 2023).</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software bug exposed conversation titles and payment-related details of ~1.2% of subscribers in a nine-hour window.</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The authority ordered the service suspended in that jurisdiction; it resumed weeks later after conditions were met.</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Data protection and isolation. A tenancy boundary held only ‘usually’; a regulator can and did halt a service over it.</w:t>
      </w:r>
    </w:p>
    <w:p>
      <w:r>
        <w:br w:type="page"/>
      </w:r>
    </w:p>
    <w:p>
      <w:pPr>
        <w:pStyle w:val="Heading2"/>
        <w:spacing w:after="90" w:before="220"/>
      </w:pPr>
      <w:r>
        <w:rPr>
          <w:b/>
          <w:bCs/>
          <w:color w:val="1B1A18"/>
          <w:sz w:val="23"/>
          <w:szCs w:val="23"/>
        </w:rPr>
        <w:t xml:space="preserve">Case 9 — AI-memory integrity demonstrations</w:t>
      </w:r>
    </w:p>
    <w:p>
      <w:pPr>
        <w:spacing w:after="40" w:line="276"/>
      </w:pPr>
      <w:r>
        <w:rPr>
          <w:b/>
          <w:bCs/>
          <w:color w:val="57534A"/>
          <w:sz w:val="20"/>
          <w:szCs w:val="20"/>
        </w:rPr>
        <w:t xml:space="preserve">Register:  </w:t>
      </w:r>
      <w:r>
        <w:rPr>
          <w:color w:val="1B1A18"/>
          <w:sz w:val="20"/>
          <w:szCs w:val="20"/>
        </w:rPr>
        <w:t xml:space="preserve">Security demonstration (disclosed)</w:t>
      </w:r>
    </w:p>
    <w:p>
      <w:pPr>
        <w:spacing w:after="120" w:before="30" w:line="264"/>
      </w:pPr>
      <w:r>
        <w:rPr>
          <w:b/>
          <w:bCs/>
          <w:color w:val="57534A"/>
          <w:sz w:val="17"/>
          <w:szCs w:val="17"/>
        </w:rPr>
        <w:t xml:space="preserve">Citation.  </w:t>
      </w:r>
      <w:r>
        <w:rPr>
          <w:i/>
          <w:iCs/>
          <w:color w:val="6E6A62"/>
          <w:sz w:val="17"/>
          <w:szCs w:val="17"/>
        </w:rPr>
        <w:t xml:space="preserve">Published security disclosures with timelines and partial fixes (2024–2025), incl. persistent-memory injection against major AI assistants; OWASP LLM01 (prompt injection).</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Researchers showed that crafted input could poison an AI assistant’s long-term memory, causing later exfiltration or false ‘facts’.</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Demonstrations, not litigation; several were fixed on disclosure. They evidence capability and risk, not liability.</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Memory integrity and origin. A poisoned record is inherited by every future reader — a time-shifted integrity and breach risk.</w:t>
      </w:r>
    </w:p>
    <w:p>
      <w:r>
        <w:br w:type="page"/>
      </w:r>
    </w:p>
    <w:p>
      <w:pPr>
        <w:pStyle w:val="Heading2"/>
        <w:spacing w:after="90" w:before="220"/>
      </w:pPr>
      <w:r>
        <w:rPr>
          <w:b/>
          <w:bCs/>
          <w:color w:val="1B1A18"/>
          <w:sz w:val="23"/>
          <w:szCs w:val="23"/>
        </w:rPr>
        <w:t xml:space="preserve">Case 10 — CrowdStrike outage</w:t>
      </w:r>
    </w:p>
    <w:p>
      <w:pPr>
        <w:spacing w:after="40" w:line="276"/>
      </w:pPr>
      <w:r>
        <w:rPr>
          <w:b/>
          <w:bCs/>
          <w:color w:val="57534A"/>
          <w:sz w:val="20"/>
          <w:szCs w:val="20"/>
        </w:rPr>
        <w:t xml:space="preserve">Register:  </w:t>
      </w:r>
      <w:r>
        <w:rPr>
          <w:color w:val="1B1A18"/>
          <w:sz w:val="20"/>
          <w:szCs w:val="20"/>
        </w:rPr>
        <w:t xml:space="preserve">Company-acknowledged / analysed</w:t>
      </w:r>
    </w:p>
    <w:p>
      <w:pPr>
        <w:spacing w:after="120" w:before="30" w:line="264"/>
      </w:pPr>
      <w:r>
        <w:rPr>
          <w:b/>
          <w:bCs/>
          <w:color w:val="57534A"/>
          <w:sz w:val="17"/>
          <w:szCs w:val="17"/>
        </w:rPr>
        <w:t xml:space="preserve">Citation.  </w:t>
      </w:r>
      <w:r>
        <w:rPr>
          <w:i/>
          <w:iCs/>
          <w:color w:val="6E6A62"/>
          <w:sz w:val="17"/>
          <w:szCs w:val="17"/>
        </w:rPr>
        <w:t xml:space="preserve">CrowdStrike post-incident review (2024); Parametrix loss analysis (Jul 2024); Delta Air Lines SEC filing (Aug 2024).</w:t>
      </w:r>
    </w:p>
    <w:p>
      <w:pPr>
        <w:pStyle w:val="Heading3"/>
        <w:spacing w:after="70" w:before="160"/>
      </w:pPr>
      <w:r>
        <w:rPr>
          <w:b/>
          <w:bCs/>
          <w:color w:val="57534A"/>
          <w:sz w:val="20"/>
          <w:szCs w:val="20"/>
        </w:rPr>
        <w:t xml:space="preserve">Facts</w:t>
      </w:r>
    </w:p>
    <w:p>
      <w:pPr>
        <w:spacing w:after="110" w:line="276"/>
      </w:pPr>
      <w:r>
        <w:rPr>
          <w:color w:val="1B1A18"/>
          <w:sz w:val="20"/>
          <w:szCs w:val="20"/>
        </w:rPr>
        <w:t xml:space="preserve">A content update with one unexpected field crashed ~8.5M devices worldwide; ~$5.4B Fortune-500 loss; a single airline cancelled ~7,000 flights.</w:t>
      </w:r>
    </w:p>
    <w:p>
      <w:pPr>
        <w:pStyle w:val="Heading3"/>
        <w:spacing w:after="70" w:before="160"/>
      </w:pPr>
      <w:r>
        <w:rPr>
          <w:b/>
          <w:bCs/>
          <w:color w:val="57534A"/>
          <w:sz w:val="20"/>
          <w:szCs w:val="20"/>
        </w:rPr>
        <w:t xml:space="preserve">Outcome / register note</w:t>
      </w:r>
    </w:p>
    <w:p>
      <w:pPr>
        <w:spacing w:after="110" w:line="276"/>
      </w:pPr>
      <w:r>
        <w:rPr>
          <w:color w:val="1B1A18"/>
          <w:sz w:val="20"/>
          <w:szCs w:val="20"/>
        </w:rPr>
        <w:t xml:space="preserve">Post-incident and analytical, with downstream commercial disputes; illustrates systemic concentration risk.</w:t>
      </w:r>
    </w:p>
    <w:p>
      <w:pPr>
        <w:pStyle w:val="Heading3"/>
        <w:spacing w:after="70" w:before="160"/>
      </w:pPr>
      <w:r>
        <w:rPr>
          <w:b/>
          <w:bCs/>
          <w:color w:val="57534A"/>
          <w:sz w:val="20"/>
          <w:szCs w:val="20"/>
        </w:rPr>
        <w:t xml:space="preserve">Doctrine &amp; discussion</w:t>
      </w:r>
    </w:p>
    <w:p>
      <w:pPr>
        <w:spacing w:after="110" w:line="276"/>
      </w:pPr>
      <w:r>
        <w:rPr>
          <w:color w:val="1B1A18"/>
          <w:sz w:val="20"/>
          <w:szCs w:val="20"/>
        </w:rPr>
        <w:t xml:space="preserve">Systemic risk and resilience. A single update path, trusted everywhere, can fail everywhere — a contractual and supervisory concern.</w:t>
      </w:r>
    </w:p>
    <w:p>
      <w:r>
        <w:br w:type="page"/>
      </w:r>
    </w:p>
    <w:p>
      <w:pPr>
        <w:pStyle w:val="Heading1"/>
        <w:spacing w:after="130" w:before="300"/>
      </w:pPr>
      <w:r>
        <w:rPr>
          <w:b/>
          <w:bCs/>
          <w:color w:val="33302B"/>
          <w:sz w:val="29"/>
          <w:szCs w:val="29"/>
        </w:rPr>
        <w:t xml:space="preserve">Part C — Short doctrinal notes</w:t>
      </w:r>
    </w:p>
    <w:p>
      <w:pPr>
        <w:spacing w:after="110" w:line="276"/>
      </w:pPr>
      <w:r>
        <w:rPr>
          <w:i/>
          <w:iCs/>
          <w:color w:val="6E6A62"/>
          <w:sz w:val="20"/>
          <w:szCs w:val="20"/>
        </w:rPr>
        <w:t xml:space="preserve">Brief, jurisdiction-neutral orientation for each part of the course. These are teaching notes, not authority; consult the law where you practise.</w:t>
      </w:r>
    </w:p>
    <w:p>
      <w:pPr>
        <w:pStyle w:val="Heading3"/>
        <w:spacing w:after="70" w:before="160"/>
      </w:pPr>
      <w:r>
        <w:rPr>
          <w:b/>
          <w:bCs/>
          <w:color w:val="57534A"/>
          <w:sz w:val="20"/>
          <w:szCs w:val="20"/>
        </w:rPr>
        <w:t xml:space="preserve">Agency &amp; liability (Weeks 1, 4)</w:t>
      </w:r>
    </w:p>
    <w:p>
      <w:pPr>
        <w:spacing w:after="110" w:line="276"/>
      </w:pPr>
      <w:r>
        <w:rPr>
          <w:color w:val="1B1A18"/>
          <w:sz w:val="20"/>
          <w:szCs w:val="20"/>
        </w:rPr>
        <w:t xml:space="preserve">Agency principles generally attribute an authorised agent’s acts to the principal; apparent (ostensible) authority can bind a principal even beyond actual authority. Vicarious-liability and non-delegable-duty doctrines mean an institution usually cannot escape responsibility by pointing to the tool that performed the act. The ‘separate entity’ argument for a chatbot has been rejected. The open questions are about authorisation and foreseeability, not about whether autonomy creates a liability gap.</w:t>
      </w:r>
    </w:p>
    <w:p>
      <w:pPr>
        <w:pStyle w:val="Heading3"/>
        <w:spacing w:after="70" w:before="160"/>
      </w:pPr>
      <w:r>
        <w:rPr>
          <w:b/>
          <w:bCs/>
          <w:color w:val="57534A"/>
          <w:sz w:val="20"/>
          <w:szCs w:val="20"/>
        </w:rPr>
        <w:t xml:space="preserve">Evidence (Week 5)</w:t>
      </w:r>
    </w:p>
    <w:p>
      <w:pPr>
        <w:spacing w:after="110" w:line="276"/>
      </w:pPr>
      <w:r>
        <w:rPr>
          <w:color w:val="1B1A18"/>
          <w:sz w:val="20"/>
          <w:szCs w:val="20"/>
        </w:rPr>
        <w:t xml:space="preserve">Many systems assume, by rule or practice, that computer-produced records are reliable. Horizon is the cautionary tale for that assumption. For agentic, probabilistic systems, the reliability of system output is contestable, and the lawyer’s task is to test whether a record is complete by construction and independently verifiable — not vouched for solely by the party relying on it.</w:t>
      </w:r>
    </w:p>
    <w:p>
      <w:pPr>
        <w:pStyle w:val="Heading3"/>
        <w:spacing w:after="70" w:before="160"/>
      </w:pPr>
      <w:r>
        <w:rPr>
          <w:b/>
          <w:bCs/>
          <w:color w:val="57534A"/>
          <w:sz w:val="20"/>
          <w:szCs w:val="20"/>
        </w:rPr>
        <w:t xml:space="preserve">Contract &amp; procurement (Week 6)</w:t>
      </w:r>
    </w:p>
    <w:p>
      <w:pPr>
        <w:spacing w:after="110" w:line="276"/>
      </w:pPr>
      <w:r>
        <w:rPr>
          <w:color w:val="1B1A18"/>
          <w:sz w:val="20"/>
          <w:szCs w:val="20"/>
        </w:rPr>
        <w:t xml:space="preserve">Where liability rules are unsettled, contract allocates risk. The framework becomes deal terms: warranties that mandatory rules are enforced structurally; audit and evidence rights (the right to run the last-month test); sovereignty and exit provisions; and indemnities for agent acts, meaning errors, and memory-integrity events. The nine-test protocol functions as pre-signing due diligence.</w:t>
      </w:r>
    </w:p>
    <w:p>
      <w:pPr>
        <w:pStyle w:val="Heading3"/>
        <w:spacing w:after="70" w:before="160"/>
      </w:pPr>
      <w:r>
        <w:rPr>
          <w:b/>
          <w:bCs/>
          <w:color w:val="57534A"/>
          <w:sz w:val="20"/>
          <w:szCs w:val="20"/>
        </w:rPr>
        <w:t xml:space="preserve">Data protection &amp; privacy (Week 7)</w:t>
      </w:r>
    </w:p>
    <w:p>
      <w:pPr>
        <w:spacing w:after="110" w:line="276"/>
      </w:pPr>
      <w:r>
        <w:rPr>
          <w:color w:val="1B1A18"/>
          <w:sz w:val="20"/>
          <w:szCs w:val="20"/>
        </w:rPr>
        <w:t xml:space="preserve">Institutional memory is regulated data: retention, integrity, breach notification, and cross-border transfer. Schrems II shows the fragility of a single transfer arrangement; the memory-integrity demonstrations show a new attack surface. Treat AI memory as a regulated asset with duties attaching to its writing, provenance, and protection.</w:t>
      </w:r>
    </w:p>
    <w:p>
      <w:pPr>
        <w:pStyle w:val="Heading3"/>
        <w:spacing w:after="70" w:before="160"/>
      </w:pPr>
      <w:r>
        <w:rPr>
          <w:b/>
          <w:bCs/>
          <w:color w:val="57534A"/>
          <w:sz w:val="20"/>
          <w:szCs w:val="20"/>
        </w:rPr>
        <w:t xml:space="preserve">Professional responsibility (Week 12)</w:t>
      </w:r>
    </w:p>
    <w:p>
      <w:pPr>
        <w:spacing w:after="110" w:line="276"/>
      </w:pPr>
      <w:r>
        <w:rPr>
          <w:color w:val="1B1A18"/>
          <w:sz w:val="20"/>
          <w:szCs w:val="20"/>
        </w:rPr>
        <w:t xml:space="preserve">Duties of competence (including technological competence), confidentiality, candour to the court, and supervision extend to a lawyer’s use of AI. Fabricated citations breach candour; feeding privileged material to untrusted tools risks confidentiality and privilege; unsupervised agent acts engage supervision duties. Consult your bar’s rules and any AI-specific guidance.</w:t>
      </w:r>
    </w:p>
    <w:p>
      <w:r>
        <w:br w:type="page"/>
      </w:r>
    </w:p>
    <w:p>
      <w:pPr>
        <w:pStyle w:val="Heading1"/>
        <w:spacing w:after="130" w:before="300"/>
      </w:pPr>
      <w:r>
        <w:rPr>
          <w:b/>
          <w:bCs/>
          <w:color w:val="33302B"/>
          <w:sz w:val="29"/>
          <w:szCs w:val="29"/>
        </w:rPr>
        <w:t xml:space="preserve">Part D — The evaluation toolkit, for lawyers</w:t>
      </w:r>
    </w:p>
    <w:p>
      <w:pPr>
        <w:spacing w:after="110" w:line="276"/>
      </w:pPr>
      <w:r>
        <w:rPr>
          <w:color w:val="1B1A18"/>
          <w:sz w:val="20"/>
          <w:szCs w:val="20"/>
        </w:rPr>
        <w:t xml:space="preserve">A technology-neutral instrument you can run as due diligence, as examination, or as the backbone of a standard. Begin with the single-clause specification; each test demands a demonstration, which a warranty or a slide cannot supply.</w:t>
      </w:r>
    </w:p>
    <w:p>
      <w:pPr>
        <w:spacing w:after="110" w:line="276"/>
      </w:pPr>
      <w:r>
        <w:rPr>
          <w:b/>
          <w:bCs/>
          <w:color w:val="1B1A18"/>
          <w:sz w:val="20"/>
          <w:szCs w:val="20"/>
        </w:rPr>
        <w:t xml:space="preserve">Single-clause specification.  </w:t>
      </w:r>
      <w:r>
        <w:rPr>
          <w:color w:val="1B1A18"/>
          <w:sz w:val="20"/>
          <w:szCs w:val="20"/>
        </w:rPr>
        <w:t xml:space="preserve">Show the crossing, and show what survives it — have the entity walk real work across a real boundary, live, and inspect what arrives with it.</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50"/>
        <w:gridCol w:w="3900"/>
        <w:gridCol w:w="3100"/>
        <w:gridCol w:w="2630"/>
      </w:tblGrid>
      <w:tr>
        <w:trPr>
          <w:tblHeader/>
        </w:trPr>
        <w:tc>
          <w:tcPr>
            <w:tcW w:type="dxa" w:w="450"/>
            <w:shd w:fill="33302B" w:color="auto" w:val="clear"/>
            <w:tcMar>
              <w:top w:type="dxa" w:w="55"/>
              <w:left w:type="dxa" w:w="90"/>
              <w:bottom w:type="dxa" w:w="55"/>
              <w:right w:type="dxa" w:w="90"/>
            </w:tcMar>
          </w:tcPr>
          <w:p>
            <w:pPr>
              <w:spacing w:after="0" w:line="246"/>
            </w:pPr>
            <w:r>
              <w:rPr>
                <w:b/>
                <w:bCs/>
                <w:color w:val="FFFFFF"/>
                <w:sz w:val="17"/>
                <w:szCs w:val="17"/>
              </w:rPr>
              <w:t xml:space="preserve">#</w:t>
            </w:r>
          </w:p>
        </w:tc>
        <w:tc>
          <w:tcPr>
            <w:tcW w:type="dxa" w:w="3900"/>
            <w:shd w:fill="33302B" w:color="auto" w:val="clear"/>
            <w:tcMar>
              <w:top w:type="dxa" w:w="55"/>
              <w:left w:type="dxa" w:w="90"/>
              <w:bottom w:type="dxa" w:w="55"/>
              <w:right w:type="dxa" w:w="90"/>
            </w:tcMar>
          </w:tcPr>
          <w:p>
            <w:pPr>
              <w:spacing w:after="0" w:line="246"/>
            </w:pPr>
            <w:r>
              <w:rPr>
                <w:b/>
                <w:bCs/>
                <w:color w:val="FFFFFF"/>
                <w:sz w:val="17"/>
                <w:szCs w:val="17"/>
              </w:rPr>
              <w:t xml:space="preserve">Test — what to demand</w:t>
            </w:r>
          </w:p>
        </w:tc>
        <w:tc>
          <w:tcPr>
            <w:tcW w:type="dxa" w:w="3100"/>
            <w:shd w:fill="33302B" w:color="auto" w:val="clear"/>
            <w:tcMar>
              <w:top w:type="dxa" w:w="55"/>
              <w:left w:type="dxa" w:w="90"/>
              <w:bottom w:type="dxa" w:w="55"/>
              <w:right w:type="dxa" w:w="90"/>
            </w:tcMar>
          </w:tcPr>
          <w:p>
            <w:pPr>
              <w:spacing w:after="0" w:line="246"/>
            </w:pPr>
            <w:r>
              <w:rPr>
                <w:b/>
                <w:bCs/>
                <w:color w:val="FFFFFF"/>
                <w:sz w:val="17"/>
                <w:szCs w:val="17"/>
              </w:rPr>
              <w:t xml:space="preserve">A pass looks like</w:t>
            </w:r>
          </w:p>
        </w:tc>
        <w:tc>
          <w:tcPr>
            <w:tcW w:type="dxa" w:w="2630"/>
            <w:shd w:fill="33302B" w:color="auto" w:val="clear"/>
            <w:tcMar>
              <w:top w:type="dxa" w:w="55"/>
              <w:left w:type="dxa" w:w="90"/>
              <w:bottom w:type="dxa" w:w="55"/>
              <w:right w:type="dxa" w:w="90"/>
            </w:tcMar>
          </w:tcPr>
          <w:p>
            <w:pPr>
              <w:spacing w:after="0" w:line="246"/>
            </w:pPr>
            <w:r>
              <w:rPr>
                <w:b/>
                <w:bCs/>
                <w:color w:val="FFFFFF"/>
                <w:sz w:val="17"/>
                <w:szCs w:val="17"/>
              </w:rPr>
              <w:t xml:space="preserve">Disqualifier</w:t>
            </w:r>
          </w:p>
        </w:tc>
      </w:tr>
      <w:tr>
        <w:tc>
          <w:tcPr>
            <w:tcW w:type="dxa" w:w="450"/>
            <w:shd w:fill="FFFFFF" w:color="auto" w:val="clear"/>
            <w:tcMar>
              <w:top w:type="dxa" w:w="55"/>
              <w:left w:type="dxa" w:w="90"/>
              <w:bottom w:type="dxa" w:w="55"/>
              <w:right w:type="dxa" w:w="90"/>
            </w:tcMar>
          </w:tcPr>
          <w:p>
            <w:pPr>
              <w:spacing w:after="0" w:line="246"/>
            </w:pPr>
            <w:r>
              <w:rPr>
                <w:color w:val="1B1A18"/>
                <w:sz w:val="17"/>
                <w:szCs w:val="17"/>
              </w:rPr>
              <w:t xml:space="preserve">1</w:t>
            </w:r>
          </w:p>
        </w:tc>
        <w:tc>
          <w:tcPr>
            <w:tcW w:type="dxa" w:w="3900"/>
            <w:shd w:fill="FFFFFF" w:color="auto" w:val="clear"/>
            <w:tcMar>
              <w:top w:type="dxa" w:w="55"/>
              <w:left w:type="dxa" w:w="90"/>
              <w:bottom w:type="dxa" w:w="55"/>
              <w:right w:type="dxa" w:w="90"/>
            </w:tcMar>
          </w:tcPr>
          <w:p>
            <w:pPr>
              <w:spacing w:after="0" w:line="246"/>
            </w:pPr>
            <w:r>
              <w:rPr>
                <w:color w:val="1B1A18"/>
                <w:sz w:val="17"/>
                <w:szCs w:val="17"/>
              </w:rPr>
              <w:t xml:space="preserve">Onboarding: add a rule/tenant, live</w:t>
            </w:r>
          </w:p>
        </w:tc>
        <w:tc>
          <w:tcPr>
            <w:tcW w:type="dxa" w:w="3100"/>
            <w:shd w:fill="FFFFFF" w:color="auto" w:val="clear"/>
            <w:tcMar>
              <w:top w:type="dxa" w:w="55"/>
              <w:left w:type="dxa" w:w="90"/>
              <w:bottom w:type="dxa" w:w="55"/>
              <w:right w:type="dxa" w:w="90"/>
            </w:tcMar>
          </w:tcPr>
          <w:p>
            <w:pPr>
              <w:spacing w:after="0" w:line="246"/>
            </w:pPr>
            <w:r>
              <w:rPr>
                <w:color w:val="1B1A18"/>
                <w:sz w:val="17"/>
                <w:szCs w:val="17"/>
              </w:rPr>
              <w:t xml:space="preserve">New data (configuration); no code release</w:t>
            </w:r>
          </w:p>
        </w:tc>
        <w:tc>
          <w:tcPr>
            <w:tcW w:type="dxa" w:w="2630"/>
            <w:shd w:fill="FFFFFF" w:color="auto" w:val="clear"/>
            <w:tcMar>
              <w:top w:type="dxa" w:w="55"/>
              <w:left w:type="dxa" w:w="90"/>
              <w:bottom w:type="dxa" w:w="55"/>
              <w:right w:type="dxa" w:w="90"/>
            </w:tcMar>
          </w:tcPr>
          <w:p>
            <w:pPr>
              <w:spacing w:after="0" w:line="246"/>
            </w:pPr>
            <w:r>
              <w:rPr>
                <w:color w:val="1B1A18"/>
                <w:sz w:val="17"/>
                <w:szCs w:val="17"/>
              </w:rPr>
              <w:t xml:space="preserve">A branch, a subclass, or a release</w:t>
            </w:r>
          </w:p>
        </w:tc>
      </w:tr>
      <w:tr>
        <w:tc>
          <w:tcPr>
            <w:tcW w:type="dxa" w:w="450"/>
            <w:shd w:fill="F4F2EE" w:color="auto" w:val="clear"/>
            <w:tcMar>
              <w:top w:type="dxa" w:w="55"/>
              <w:left w:type="dxa" w:w="90"/>
              <w:bottom w:type="dxa" w:w="55"/>
              <w:right w:type="dxa" w:w="90"/>
            </w:tcMar>
          </w:tcPr>
          <w:p>
            <w:pPr>
              <w:spacing w:after="0" w:line="246"/>
            </w:pPr>
            <w:r>
              <w:rPr>
                <w:color w:val="1B1A18"/>
                <w:sz w:val="17"/>
                <w:szCs w:val="17"/>
              </w:rPr>
              <w:t xml:space="preserve">2</w:t>
            </w:r>
          </w:p>
        </w:tc>
        <w:tc>
          <w:tcPr>
            <w:tcW w:type="dxa" w:w="3900"/>
            <w:shd w:fill="F4F2EE" w:color="auto" w:val="clear"/>
            <w:tcMar>
              <w:top w:type="dxa" w:w="55"/>
              <w:left w:type="dxa" w:w="90"/>
              <w:bottom w:type="dxa" w:w="55"/>
              <w:right w:type="dxa" w:w="90"/>
            </w:tcMar>
          </w:tcPr>
          <w:p>
            <w:pPr>
              <w:spacing w:after="0" w:line="246"/>
            </w:pPr>
            <w:r>
              <w:rPr>
                <w:color w:val="1B1A18"/>
                <w:sz w:val="17"/>
                <w:szCs w:val="17"/>
              </w:rPr>
              <w:t xml:space="preserve">Where-proven: where a new agent is proven</w:t>
            </w:r>
          </w:p>
        </w:tc>
        <w:tc>
          <w:tcPr>
            <w:tcW w:type="dxa" w:w="3100"/>
            <w:shd w:fill="F4F2EE" w:color="auto" w:val="clear"/>
            <w:tcMar>
              <w:top w:type="dxa" w:w="55"/>
              <w:left w:type="dxa" w:w="90"/>
              <w:bottom w:type="dxa" w:w="55"/>
              <w:right w:type="dxa" w:w="90"/>
            </w:tcMar>
          </w:tcPr>
          <w:p>
            <w:pPr>
              <w:spacing w:after="0" w:line="246"/>
            </w:pPr>
            <w:r>
              <w:rPr>
                <w:color w:val="1B1A18"/>
                <w:sz w:val="17"/>
                <w:szCs w:val="17"/>
              </w:rPr>
              <w:t xml:space="preserve">Inside the controls it will operate under</w:t>
            </w:r>
          </w:p>
        </w:tc>
        <w:tc>
          <w:tcPr>
            <w:tcW w:type="dxa" w:w="2630"/>
            <w:shd w:fill="F4F2EE" w:color="auto" w:val="clear"/>
            <w:tcMar>
              <w:top w:type="dxa" w:w="55"/>
              <w:left w:type="dxa" w:w="90"/>
              <w:bottom w:type="dxa" w:w="55"/>
              <w:right w:type="dxa" w:w="90"/>
            </w:tcMar>
          </w:tcPr>
          <w:p>
            <w:pPr>
              <w:spacing w:after="0" w:line="246"/>
            </w:pPr>
            <w:r>
              <w:rPr>
                <w:color w:val="1B1A18"/>
                <w:sz w:val="17"/>
                <w:szCs w:val="17"/>
              </w:rPr>
              <w:t xml:space="preserve">A development environment or pipeline</w:t>
            </w:r>
          </w:p>
        </w:tc>
      </w:tr>
      <w:tr>
        <w:tc>
          <w:tcPr>
            <w:tcW w:type="dxa" w:w="450"/>
            <w:shd w:fill="FFFFFF" w:color="auto" w:val="clear"/>
            <w:tcMar>
              <w:top w:type="dxa" w:w="55"/>
              <w:left w:type="dxa" w:w="90"/>
              <w:bottom w:type="dxa" w:w="55"/>
              <w:right w:type="dxa" w:w="90"/>
            </w:tcMar>
          </w:tcPr>
          <w:p>
            <w:pPr>
              <w:spacing w:after="0" w:line="246"/>
            </w:pPr>
            <w:r>
              <w:rPr>
                <w:color w:val="1B1A18"/>
                <w:sz w:val="17"/>
                <w:szCs w:val="17"/>
              </w:rPr>
              <w:t xml:space="preserve">3</w:t>
            </w:r>
          </w:p>
        </w:tc>
        <w:tc>
          <w:tcPr>
            <w:tcW w:type="dxa" w:w="3900"/>
            <w:shd w:fill="FFFFFF" w:color="auto" w:val="clear"/>
            <w:tcMar>
              <w:top w:type="dxa" w:w="55"/>
              <w:left w:type="dxa" w:w="90"/>
              <w:bottom w:type="dxa" w:w="55"/>
              <w:right w:type="dxa" w:w="90"/>
            </w:tcMar>
          </w:tcPr>
          <w:p>
            <w:pPr>
              <w:spacing w:after="0" w:line="246"/>
            </w:pPr>
            <w:r>
              <w:rPr>
                <w:color w:val="1B1A18"/>
                <w:sz w:val="17"/>
                <w:szCs w:val="17"/>
              </w:rPr>
              <w:t xml:space="preserve">Address: a ‘never’ and its enforcement point</w:t>
            </w:r>
          </w:p>
        </w:tc>
        <w:tc>
          <w:tcPr>
            <w:tcW w:type="dxa" w:w="3100"/>
            <w:shd w:fill="FFFFFF" w:color="auto" w:val="clear"/>
            <w:tcMar>
              <w:top w:type="dxa" w:w="55"/>
              <w:left w:type="dxa" w:w="90"/>
              <w:bottom w:type="dxa" w:w="55"/>
              <w:right w:type="dxa" w:w="90"/>
            </w:tcMar>
          </w:tcPr>
          <w:p>
            <w:pPr>
              <w:spacing w:after="0" w:line="246"/>
            </w:pPr>
            <w:r>
              <w:rPr>
                <w:color w:val="1B1A18"/>
                <w:sz w:val="17"/>
                <w:szCs w:val="17"/>
              </w:rPr>
              <w:t xml:space="preserve">A structural gate the work passes through</w:t>
            </w:r>
          </w:p>
        </w:tc>
        <w:tc>
          <w:tcPr>
            <w:tcW w:type="dxa" w:w="2630"/>
            <w:shd w:fill="FFFFFF" w:color="auto" w:val="clear"/>
            <w:tcMar>
              <w:top w:type="dxa" w:w="55"/>
              <w:left w:type="dxa" w:w="90"/>
              <w:bottom w:type="dxa" w:w="55"/>
              <w:right w:type="dxa" w:w="90"/>
            </w:tcMar>
          </w:tcPr>
          <w:p>
            <w:pPr>
              <w:spacing w:after="0" w:line="246"/>
            </w:pPr>
            <w:r>
              <w:rPr>
                <w:color w:val="1B1A18"/>
                <w:sz w:val="17"/>
                <w:szCs w:val="17"/>
              </w:rPr>
              <w:t xml:space="preserve">‘We instruct the model’ / the word ‘prompt’</w:t>
            </w:r>
          </w:p>
        </w:tc>
      </w:tr>
      <w:tr>
        <w:tc>
          <w:tcPr>
            <w:tcW w:type="dxa" w:w="450"/>
            <w:shd w:fill="F4F2EE" w:color="auto" w:val="clear"/>
            <w:tcMar>
              <w:top w:type="dxa" w:w="55"/>
              <w:left w:type="dxa" w:w="90"/>
              <w:bottom w:type="dxa" w:w="55"/>
              <w:right w:type="dxa" w:w="90"/>
            </w:tcMar>
          </w:tcPr>
          <w:p>
            <w:pPr>
              <w:spacing w:after="0" w:line="246"/>
            </w:pPr>
            <w:r>
              <w:rPr>
                <w:color w:val="1B1A18"/>
                <w:sz w:val="17"/>
                <w:szCs w:val="17"/>
              </w:rPr>
              <w:t xml:space="preserve">4</w:t>
            </w:r>
          </w:p>
        </w:tc>
        <w:tc>
          <w:tcPr>
            <w:tcW w:type="dxa" w:w="3900"/>
            <w:shd w:fill="F4F2EE" w:color="auto" w:val="clear"/>
            <w:tcMar>
              <w:top w:type="dxa" w:w="55"/>
              <w:left w:type="dxa" w:w="90"/>
              <w:bottom w:type="dxa" w:w="55"/>
              <w:right w:type="dxa" w:w="90"/>
            </w:tcMar>
          </w:tcPr>
          <w:p>
            <w:pPr>
              <w:spacing w:after="0" w:line="246"/>
            </w:pPr>
            <w:r>
              <w:rPr>
                <w:color w:val="1B1A18"/>
                <w:sz w:val="17"/>
                <w:szCs w:val="17"/>
              </w:rPr>
              <w:t xml:space="preserve">Expressibility: write the cross-tenant statement</w:t>
            </w:r>
          </w:p>
        </w:tc>
        <w:tc>
          <w:tcPr>
            <w:tcW w:type="dxa" w:w="3100"/>
            <w:shd w:fill="F4F2EE" w:color="auto" w:val="clear"/>
            <w:tcMar>
              <w:top w:type="dxa" w:w="55"/>
              <w:left w:type="dxa" w:w="90"/>
              <w:bottom w:type="dxa" w:w="55"/>
              <w:right w:type="dxa" w:w="90"/>
            </w:tcMar>
          </w:tcPr>
          <w:p>
            <w:pPr>
              <w:spacing w:after="0" w:line="246"/>
            </w:pPr>
            <w:r>
              <w:rPr>
                <w:color w:val="1B1A18"/>
                <w:sz w:val="17"/>
                <w:szCs w:val="17"/>
              </w:rPr>
              <w:t xml:space="preserve">It cannot be expressed in the structure</w:t>
            </w:r>
          </w:p>
        </w:tc>
        <w:tc>
          <w:tcPr>
            <w:tcW w:type="dxa" w:w="2630"/>
            <w:shd w:fill="F4F2EE" w:color="auto" w:val="clear"/>
            <w:tcMar>
              <w:top w:type="dxa" w:w="55"/>
              <w:left w:type="dxa" w:w="90"/>
              <w:bottom w:type="dxa" w:w="55"/>
              <w:right w:type="dxa" w:w="90"/>
            </w:tcMar>
          </w:tcPr>
          <w:p>
            <w:pPr>
              <w:spacing w:after="0" w:line="246"/>
            </w:pPr>
            <w:r>
              <w:rPr>
                <w:color w:val="1B1A18"/>
                <w:sz w:val="17"/>
                <w:szCs w:val="17"/>
              </w:rPr>
              <w:t xml:space="preserve">It can be written (isolation is policy)</w:t>
            </w:r>
          </w:p>
        </w:tc>
      </w:tr>
      <w:tr>
        <w:tc>
          <w:tcPr>
            <w:tcW w:type="dxa" w:w="450"/>
            <w:shd w:fill="FFFFFF" w:color="auto" w:val="clear"/>
            <w:tcMar>
              <w:top w:type="dxa" w:w="55"/>
              <w:left w:type="dxa" w:w="90"/>
              <w:bottom w:type="dxa" w:w="55"/>
              <w:right w:type="dxa" w:w="90"/>
            </w:tcMar>
          </w:tcPr>
          <w:p>
            <w:pPr>
              <w:spacing w:after="0" w:line="246"/>
            </w:pPr>
            <w:r>
              <w:rPr>
                <w:color w:val="1B1A18"/>
                <w:sz w:val="17"/>
                <w:szCs w:val="17"/>
              </w:rPr>
              <w:t xml:space="preserve">5</w:t>
            </w:r>
          </w:p>
        </w:tc>
        <w:tc>
          <w:tcPr>
            <w:tcW w:type="dxa" w:w="3900"/>
            <w:shd w:fill="FFFFFF" w:color="auto" w:val="clear"/>
            <w:tcMar>
              <w:top w:type="dxa" w:w="55"/>
              <w:left w:type="dxa" w:w="90"/>
              <w:bottom w:type="dxa" w:w="55"/>
              <w:right w:type="dxa" w:w="90"/>
            </w:tcMar>
          </w:tcPr>
          <w:p>
            <w:pPr>
              <w:spacing w:after="0" w:line="246"/>
            </w:pPr>
            <w:r>
              <w:rPr>
                <w:color w:val="1B1A18"/>
                <w:sz w:val="17"/>
                <w:szCs w:val="17"/>
              </w:rPr>
              <w:t xml:space="preserve">Origin: what is known about input source</w:t>
            </w:r>
          </w:p>
        </w:tc>
        <w:tc>
          <w:tcPr>
            <w:tcW w:type="dxa" w:w="3100"/>
            <w:shd w:fill="FFFFFF" w:color="auto" w:val="clear"/>
            <w:tcMar>
              <w:top w:type="dxa" w:w="55"/>
              <w:left w:type="dxa" w:w="90"/>
              <w:bottom w:type="dxa" w:w="55"/>
              <w:right w:type="dxa" w:w="90"/>
            </w:tcMar>
          </w:tcPr>
          <w:p>
            <w:pPr>
              <w:spacing w:after="0" w:line="246"/>
            </w:pPr>
            <w:r>
              <w:rPr>
                <w:color w:val="1B1A18"/>
                <w:sz w:val="17"/>
                <w:szCs w:val="17"/>
              </w:rPr>
              <w:t xml:space="preserve">Origin recorded; its influence bounded</w:t>
            </w:r>
          </w:p>
        </w:tc>
        <w:tc>
          <w:tcPr>
            <w:tcW w:type="dxa" w:w="2630"/>
            <w:shd w:fill="FFFFFF" w:color="auto" w:val="clear"/>
            <w:tcMar>
              <w:top w:type="dxa" w:w="55"/>
              <w:left w:type="dxa" w:w="90"/>
              <w:bottom w:type="dxa" w:w="55"/>
              <w:right w:type="dxa" w:w="90"/>
            </w:tcMar>
          </w:tcPr>
          <w:p>
            <w:pPr>
              <w:spacing w:after="0" w:line="246"/>
            </w:pPr>
            <w:r>
              <w:rPr>
                <w:color w:val="1B1A18"/>
                <w:sz w:val="17"/>
                <w:szCs w:val="17"/>
              </w:rPr>
              <w:t xml:space="preserve">Origin unknown or unconstrained</w:t>
            </w:r>
          </w:p>
        </w:tc>
      </w:tr>
      <w:tr>
        <w:tc>
          <w:tcPr>
            <w:tcW w:type="dxa" w:w="450"/>
            <w:shd w:fill="F4F2EE" w:color="auto" w:val="clear"/>
            <w:tcMar>
              <w:top w:type="dxa" w:w="55"/>
              <w:left w:type="dxa" w:w="90"/>
              <w:bottom w:type="dxa" w:w="55"/>
              <w:right w:type="dxa" w:w="90"/>
            </w:tcMar>
          </w:tcPr>
          <w:p>
            <w:pPr>
              <w:spacing w:after="0" w:line="246"/>
            </w:pPr>
            <w:r>
              <w:rPr>
                <w:color w:val="1B1A18"/>
                <w:sz w:val="17"/>
                <w:szCs w:val="17"/>
              </w:rPr>
              <w:t xml:space="preserve">6</w:t>
            </w:r>
          </w:p>
        </w:tc>
        <w:tc>
          <w:tcPr>
            <w:tcW w:type="dxa" w:w="3900"/>
            <w:shd w:fill="F4F2EE" w:color="auto" w:val="clear"/>
            <w:tcMar>
              <w:top w:type="dxa" w:w="55"/>
              <w:left w:type="dxa" w:w="90"/>
              <w:bottom w:type="dxa" w:w="55"/>
              <w:right w:type="dxa" w:w="90"/>
            </w:tcMar>
          </w:tcPr>
          <w:p>
            <w:pPr>
              <w:spacing w:after="0" w:line="246"/>
            </w:pPr>
            <w:r>
              <w:rPr>
                <w:color w:val="1B1A18"/>
                <w:sz w:val="17"/>
                <w:szCs w:val="17"/>
              </w:rPr>
              <w:t xml:space="preserve">Dependency census: the reliance list</w:t>
            </w:r>
          </w:p>
        </w:tc>
        <w:tc>
          <w:tcPr>
            <w:tcW w:type="dxa" w:w="3100"/>
            <w:shd w:fill="F4F2EE" w:color="auto" w:val="clear"/>
            <w:tcMar>
              <w:top w:type="dxa" w:w="55"/>
              <w:left w:type="dxa" w:w="90"/>
              <w:bottom w:type="dxa" w:w="55"/>
              <w:right w:type="dxa" w:w="90"/>
            </w:tcMar>
          </w:tcPr>
          <w:p>
            <w:pPr>
              <w:spacing w:after="0" w:line="246"/>
            </w:pPr>
            <w:r>
              <w:rPr>
                <w:color w:val="1B1A18"/>
                <w:sz w:val="17"/>
                <w:szCs w:val="17"/>
              </w:rPr>
              <w:t xml:space="preserve">A known, bounded list</w:t>
            </w:r>
          </w:p>
        </w:tc>
        <w:tc>
          <w:tcPr>
            <w:tcW w:type="dxa" w:w="2630"/>
            <w:shd w:fill="F4F2EE" w:color="auto" w:val="clear"/>
            <w:tcMar>
              <w:top w:type="dxa" w:w="55"/>
              <w:left w:type="dxa" w:w="90"/>
              <w:bottom w:type="dxa" w:w="55"/>
              <w:right w:type="dxa" w:w="90"/>
            </w:tcMar>
          </w:tcPr>
          <w:p>
            <w:pPr>
              <w:spacing w:after="0" w:line="246"/>
            </w:pPr>
            <w:r>
              <w:rPr>
                <w:color w:val="1B1A18"/>
                <w:sz w:val="17"/>
                <w:szCs w:val="17"/>
              </w:rPr>
              <w:t xml:space="preserve">An unknown or unbounded count</w:t>
            </w:r>
          </w:p>
        </w:tc>
      </w:tr>
      <w:tr>
        <w:tc>
          <w:tcPr>
            <w:tcW w:type="dxa" w:w="450"/>
            <w:shd w:fill="FFFFFF" w:color="auto" w:val="clear"/>
            <w:tcMar>
              <w:top w:type="dxa" w:w="55"/>
              <w:left w:type="dxa" w:w="90"/>
              <w:bottom w:type="dxa" w:w="55"/>
              <w:right w:type="dxa" w:w="90"/>
            </w:tcMar>
          </w:tcPr>
          <w:p>
            <w:pPr>
              <w:spacing w:after="0" w:line="246"/>
            </w:pPr>
            <w:r>
              <w:rPr>
                <w:color w:val="1B1A18"/>
                <w:sz w:val="17"/>
                <w:szCs w:val="17"/>
              </w:rPr>
              <w:t xml:space="preserve">7</w:t>
            </w:r>
          </w:p>
        </w:tc>
        <w:tc>
          <w:tcPr>
            <w:tcW w:type="dxa" w:w="3900"/>
            <w:shd w:fill="FFFFFF" w:color="auto" w:val="clear"/>
            <w:tcMar>
              <w:top w:type="dxa" w:w="55"/>
              <w:left w:type="dxa" w:w="90"/>
              <w:bottom w:type="dxa" w:w="55"/>
              <w:right w:type="dxa" w:w="90"/>
            </w:tcMar>
          </w:tcPr>
          <w:p>
            <w:pPr>
              <w:spacing w:after="0" w:line="246"/>
            </w:pPr>
            <w:r>
              <w:rPr>
                <w:color w:val="1B1A18"/>
                <w:sz w:val="17"/>
                <w:szCs w:val="17"/>
              </w:rPr>
              <w:t xml:space="preserve">Substitution: cost of saying no to a party</w:t>
            </w:r>
          </w:p>
        </w:tc>
        <w:tc>
          <w:tcPr>
            <w:tcW w:type="dxa" w:w="3100"/>
            <w:shd w:fill="FFFFFF" w:color="auto" w:val="clear"/>
            <w:tcMar>
              <w:top w:type="dxa" w:w="55"/>
              <w:left w:type="dxa" w:w="90"/>
              <w:bottom w:type="dxa" w:w="55"/>
              <w:right w:type="dxa" w:w="90"/>
            </w:tcMar>
          </w:tcPr>
          <w:p>
            <w:pPr>
              <w:spacing w:after="0" w:line="246"/>
            </w:pPr>
            <w:r>
              <w:rPr>
                <w:color w:val="1B1A18"/>
                <w:sz w:val="17"/>
                <w:szCs w:val="17"/>
              </w:rPr>
              <w:t xml:space="preserve">A real, costed alternative exists</w:t>
            </w:r>
          </w:p>
        </w:tc>
        <w:tc>
          <w:tcPr>
            <w:tcW w:type="dxa" w:w="2630"/>
            <w:shd w:fill="FFFFFF" w:color="auto" w:val="clear"/>
            <w:tcMar>
              <w:top w:type="dxa" w:w="55"/>
              <w:left w:type="dxa" w:w="90"/>
              <w:bottom w:type="dxa" w:w="55"/>
              <w:right w:type="dxa" w:w="90"/>
            </w:tcMar>
          </w:tcPr>
          <w:p>
            <w:pPr>
              <w:spacing w:after="0" w:line="246"/>
            </w:pPr>
            <w:r>
              <w:rPr>
                <w:color w:val="1B1A18"/>
                <w:sz w:val="17"/>
                <w:szCs w:val="17"/>
              </w:rPr>
              <w:t xml:space="preserve">‘Cannot’ for a load-bearing party</w:t>
            </w:r>
          </w:p>
        </w:tc>
      </w:tr>
      <w:tr>
        <w:tc>
          <w:tcPr>
            <w:tcW w:type="dxa" w:w="450"/>
            <w:shd w:fill="F4F2EE" w:color="auto" w:val="clear"/>
            <w:tcMar>
              <w:top w:type="dxa" w:w="55"/>
              <w:left w:type="dxa" w:w="90"/>
              <w:bottom w:type="dxa" w:w="55"/>
              <w:right w:type="dxa" w:w="90"/>
            </w:tcMar>
          </w:tcPr>
          <w:p>
            <w:pPr>
              <w:spacing w:after="0" w:line="246"/>
            </w:pPr>
            <w:r>
              <w:rPr>
                <w:color w:val="1B1A18"/>
                <w:sz w:val="17"/>
                <w:szCs w:val="17"/>
              </w:rPr>
              <w:t xml:space="preserve">8</w:t>
            </w:r>
          </w:p>
        </w:tc>
        <w:tc>
          <w:tcPr>
            <w:tcW w:type="dxa" w:w="3900"/>
            <w:shd w:fill="F4F2EE" w:color="auto" w:val="clear"/>
            <w:tcMar>
              <w:top w:type="dxa" w:w="55"/>
              <w:left w:type="dxa" w:w="90"/>
              <w:bottom w:type="dxa" w:w="55"/>
              <w:right w:type="dxa" w:w="90"/>
            </w:tcMar>
          </w:tcPr>
          <w:p>
            <w:pPr>
              <w:spacing w:after="0" w:line="246"/>
            </w:pPr>
            <w:r>
              <w:rPr>
                <w:color w:val="1B1A18"/>
                <w:sz w:val="17"/>
                <w:szCs w:val="17"/>
              </w:rPr>
              <w:t xml:space="preserve">Last-month: attribution of one transaction</w:t>
            </w:r>
          </w:p>
        </w:tc>
        <w:tc>
          <w:tcPr>
            <w:tcW w:type="dxa" w:w="3100"/>
            <w:shd w:fill="F4F2EE" w:color="auto" w:val="clear"/>
            <w:tcMar>
              <w:top w:type="dxa" w:w="55"/>
              <w:left w:type="dxa" w:w="90"/>
              <w:bottom w:type="dxa" w:w="55"/>
              <w:right w:type="dxa" w:w="90"/>
            </w:tcMar>
          </w:tcPr>
          <w:p>
            <w:pPr>
              <w:spacing w:after="0" w:line="246"/>
            </w:pPr>
            <w:r>
              <w:rPr>
                <w:color w:val="1B1A18"/>
                <w:sz w:val="17"/>
                <w:szCs w:val="17"/>
              </w:rPr>
              <w:t xml:space="preserve">Complete, incl. rule version, by query</w:t>
            </w:r>
          </w:p>
        </w:tc>
        <w:tc>
          <w:tcPr>
            <w:tcW w:type="dxa" w:w="2630"/>
            <w:shd w:fill="F4F2EE" w:color="auto" w:val="clear"/>
            <w:tcMar>
              <w:top w:type="dxa" w:w="55"/>
              <w:left w:type="dxa" w:w="90"/>
              <w:bottom w:type="dxa" w:w="55"/>
              <w:right w:type="dxa" w:w="90"/>
            </w:tcMar>
          </w:tcPr>
          <w:p>
            <w:pPr>
              <w:spacing w:after="0" w:line="246"/>
            </w:pPr>
            <w:r>
              <w:rPr>
                <w:color w:val="1B1A18"/>
                <w:sz w:val="17"/>
                <w:szCs w:val="17"/>
              </w:rPr>
              <w:t xml:space="preserve">It requires an investigation</w:t>
            </w:r>
          </w:p>
        </w:tc>
      </w:tr>
      <w:tr>
        <w:tc>
          <w:tcPr>
            <w:tcW w:type="dxa" w:w="450"/>
            <w:shd w:fill="FFFFFF" w:color="auto" w:val="clear"/>
            <w:tcMar>
              <w:top w:type="dxa" w:w="55"/>
              <w:left w:type="dxa" w:w="90"/>
              <w:bottom w:type="dxa" w:w="55"/>
              <w:right w:type="dxa" w:w="90"/>
            </w:tcMar>
          </w:tcPr>
          <w:p>
            <w:pPr>
              <w:spacing w:after="0" w:line="246"/>
            </w:pPr>
            <w:r>
              <w:rPr>
                <w:color w:val="1B1A18"/>
                <w:sz w:val="17"/>
                <w:szCs w:val="17"/>
              </w:rPr>
              <w:t xml:space="preserve">9</w:t>
            </w:r>
          </w:p>
        </w:tc>
        <w:tc>
          <w:tcPr>
            <w:tcW w:type="dxa" w:w="3900"/>
            <w:shd w:fill="FFFFFF" w:color="auto" w:val="clear"/>
            <w:tcMar>
              <w:top w:type="dxa" w:w="55"/>
              <w:left w:type="dxa" w:w="90"/>
              <w:bottom w:type="dxa" w:w="55"/>
              <w:right w:type="dxa" w:w="90"/>
            </w:tcMar>
          </w:tcPr>
          <w:p>
            <w:pPr>
              <w:spacing w:after="0" w:line="246"/>
            </w:pPr>
            <w:r>
              <w:rPr>
                <w:color w:val="1B1A18"/>
                <w:sz w:val="17"/>
                <w:szCs w:val="17"/>
              </w:rPr>
              <w:t xml:space="preserve">Two-invoices + outlive: per-action cost; referee</w:t>
            </w:r>
          </w:p>
        </w:tc>
        <w:tc>
          <w:tcPr>
            <w:tcW w:type="dxa" w:w="3100"/>
            <w:shd w:fill="FFFFFF" w:color="auto" w:val="clear"/>
            <w:tcMar>
              <w:top w:type="dxa" w:w="55"/>
              <w:left w:type="dxa" w:w="90"/>
              <w:bottom w:type="dxa" w:w="55"/>
              <w:right w:type="dxa" w:w="90"/>
            </w:tcMar>
          </w:tcPr>
          <w:p>
            <w:pPr>
              <w:spacing w:after="0" w:line="246"/>
            </w:pPr>
            <w:r>
              <w:rPr>
                <w:color w:val="1B1A18"/>
                <w:sz w:val="17"/>
                <w:szCs w:val="17"/>
              </w:rPr>
              <w:t xml:space="preserve">From execution records; a neutral holder</w:t>
            </w:r>
          </w:p>
        </w:tc>
        <w:tc>
          <w:tcPr>
            <w:tcW w:type="dxa" w:w="2630"/>
            <w:shd w:fill="FFFFFF" w:color="auto" w:val="clear"/>
            <w:tcMar>
              <w:top w:type="dxa" w:w="55"/>
              <w:left w:type="dxa" w:w="90"/>
              <w:bottom w:type="dxa" w:w="55"/>
              <w:right w:type="dxa" w:w="90"/>
            </w:tcMar>
          </w:tcPr>
          <w:p>
            <w:pPr>
              <w:spacing w:after="0" w:line="246"/>
            </w:pPr>
            <w:r>
              <w:rPr>
                <w:color w:val="1B1A18"/>
                <w:sz w:val="17"/>
                <w:szCs w:val="17"/>
              </w:rPr>
              <w:t xml:space="preserve">Estimates; a holder with a stake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Law of the Agentic Enterprise · educational,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Casebook &amp; Course Materials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the Agentic Enterprise — Casebook &amp; Course Materials</dc:title>
  <dc:creator>MudoZangl — Law of the Agentic Enterprise</dc:creator>
  <cp:lastModifiedBy>Un-named</cp:lastModifiedBy>
  <cp:revision>1</cp:revision>
  <dcterms:created xsi:type="dcterms:W3CDTF">2026-08-17T11:48:19.697Z</dcterms:created>
  <dcterms:modified xsi:type="dcterms:W3CDTF">2026-08-17T11:48:19.697Z</dcterms:modified>
</cp:coreProperties>
</file>

<file path=docProps/custom.xml><?xml version="1.0" encoding="utf-8"?>
<Properties xmlns="http://schemas.openxmlformats.org/officeDocument/2006/custom-properties" xmlns:vt="http://schemas.openxmlformats.org/officeDocument/2006/docPropsVTypes"/>
</file>