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40"/>
      </w:pPr>
      <w:r>
        <w:rPr>
          <w:b/>
          <w:bCs/>
          <w:caps/>
          <w:color w:val="33302B"/>
          <w:spacing w:val="40"/>
          <w:sz w:val="21"/>
          <w:szCs w:val="21"/>
        </w:rPr>
        <w:t xml:space="preserve">Graduate law seminar</w:t>
      </w:r>
    </w:p>
    <w:p>
      <w:pPr>
        <w:pBdr>
          <w:bottom w:val="single" w:color="33302B" w:sz="12"/>
        </w:pBdr>
        <w:spacing w:after="120"/>
      </w:pPr>
      <w:r>
        <w:rPr>
          <w:b/>
          <w:bCs/>
          <w:color w:val="1B1A18"/>
          <w:sz w:val="43"/>
          <w:szCs w:val="43"/>
        </w:rPr>
        <w:t xml:space="preserve">Law of the Agentic Enterprise</w:t>
      </w:r>
    </w:p>
    <w:p>
      <w:pPr>
        <w:spacing w:after="260" w:before="140"/>
      </w:pPr>
      <w:r>
        <w:rPr>
          <w:i/>
          <w:iCs/>
          <w:color w:val="6E6A62"/>
          <w:sz w:val="22"/>
          <w:szCs w:val="22"/>
        </w:rPr>
        <w:t xml:space="preserve">Liability, Evidence, Governance, and Standards for Machine Participants</w:t>
      </w:r>
    </w:p>
    <w:p>
      <w:pPr>
        <w:spacing w:after="40" w:line="276"/>
      </w:pPr>
      <w:r>
        <w:rPr>
          <w:b/>
          <w:bCs/>
          <w:color w:val="1B1A18"/>
          <w:sz w:val="20"/>
          <w:szCs w:val="20"/>
        </w:rPr>
        <w:t xml:space="preserve">Course: </w:t>
      </w:r>
      <w:r>
        <w:rPr>
          <w:color w:val="1B1A18"/>
          <w:sz w:val="20"/>
          <w:szCs w:val="20"/>
        </w:rPr>
        <w:t xml:space="preserve">Law of the Agentic Enterprise (JD / LLM graduate seminar; adaptable as advanced CLE)</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220" w:line="276"/>
      </w:pPr>
      <w:r>
        <w:rPr>
          <w:b/>
          <w:bCs/>
          <w:color w:val="1B1A18"/>
          <w:sz w:val="20"/>
          <w:szCs w:val="20"/>
        </w:rPr>
        <w:t xml:space="preserve">Instructor: </w:t>
      </w:r>
      <w:r>
        <w:rPr>
          <w:color w:val="1B1A18"/>
          <w:sz w:val="20"/>
          <w:szCs w:val="20"/>
        </w:rPr>
        <w:t xml:space="preserve">[Instructor name]     </w:t>
      </w:r>
      <w:r>
        <w:rPr>
          <w:b/>
          <w:bCs/>
          <w:color w:val="1B1A18"/>
          <w:sz w:val="20"/>
          <w:szCs w:val="20"/>
        </w:rPr>
        <w:t xml:space="preserve">Term: </w:t>
      </w:r>
      <w:r>
        <w:rPr>
          <w:color w:val="1B1A18"/>
          <w:sz w:val="20"/>
          <w:szCs w:val="20"/>
        </w:rPr>
        <w:t xml:space="preserve">[Term / year]</w:t>
      </w:r>
    </w:p>
    <w:p>
      <w:pPr>
        <w:pBdr>
          <w:top w:val="single" w:color="D6D2C9" w:sz="4"/>
          <w:bottom w:val="single" w:color="D6D2C9" w:sz="4"/>
          <w:left w:val="single" w:color="8A8378" w:sz="12"/>
          <w:right w:val="single" w:color="D6D2C9" w:sz="4"/>
        </w:pBdr>
        <w:spacing w:after="200" w:before="60" w:line="264"/>
        <w:ind w:left="160" w:right="160"/>
      </w:pPr>
      <w:r>
        <w:rPr>
          <w:b/>
          <w:bCs/>
          <w:color w:val="8A8378"/>
          <w:sz w:val="18"/>
          <w:szCs w:val="18"/>
        </w:rPr>
        <w:t xml:space="preserve">Educational material for legal study — not legal advice.  </w:t>
      </w:r>
      <w:r>
        <w:rPr>
          <w:color w:val="1B1A18"/>
          <w:sz w:val="17"/>
          <w:szCs w:val="17"/>
        </w:rPr>
        <w:t xml:space="preserve">This course applies an analytical framework (from the book) to legal questions raised by agentic AI. It is not legal advice and does not state the law of any jurisdiction; doctrines of agency, evidence, data protection, and professional responsibility vary by jurisdiction and change over time. Case summaries are simplified for teaching — read the primary sources. Verify every rule, citation, and figure against the law in force where you practise. Figures are stated as at mid-2026 and will age.</w:t>
      </w:r>
    </w:p>
    <w:p>
      <w:pPr>
        <w:pStyle w:val="Heading1"/>
        <w:spacing w:after="130" w:before="300"/>
      </w:pPr>
      <w:r>
        <w:rPr>
          <w:b/>
          <w:bCs/>
          <w:color w:val="33302B"/>
          <w:sz w:val="29"/>
          <w:szCs w:val="29"/>
        </w:rPr>
        <w:t xml:space="preserve">Course at a glance</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600"/>
        <w:gridCol w:w="7480"/>
      </w:tblGrid>
      <w:tr>
        <w:trPr>
          <w:tblHeader/>
        </w:trPr>
        <w:tc>
          <w:tcPr>
            <w:tcW w:type="dxa" w:w="2600"/>
            <w:shd w:fill="33302B" w:color="auto" w:val="clear"/>
            <w:tcMar>
              <w:top w:type="dxa" w:w="55"/>
              <w:left w:type="dxa" w:w="90"/>
              <w:bottom w:type="dxa" w:w="55"/>
              <w:right w:type="dxa" w:w="90"/>
            </w:tcMar>
          </w:tcPr>
          <w:p>
            <w:pPr>
              <w:spacing w:after="0" w:line="246"/>
            </w:pPr>
            <w:r>
              <w:rPr>
                <w:b/>
                <w:bCs/>
                <w:color w:val="FFFFFF"/>
                <w:sz w:val="17"/>
                <w:szCs w:val="17"/>
              </w:rPr>
              <w:t xml:space="preserve">Field</w:t>
            </w:r>
          </w:p>
        </w:tc>
        <w:tc>
          <w:tcPr>
            <w:tcW w:type="dxa" w:w="7480"/>
            <w:shd w:fill="33302B" w:color="auto" w:val="clear"/>
            <w:tcMar>
              <w:top w:type="dxa" w:w="55"/>
              <w:left w:type="dxa" w:w="90"/>
              <w:bottom w:type="dxa" w:w="55"/>
              <w:right w:type="dxa" w:w="90"/>
            </w:tcMar>
          </w:tcPr>
          <w:p>
            <w:pPr>
              <w:spacing w:after="0" w:line="246"/>
            </w:pPr>
            <w:r>
              <w:rPr>
                <w:b/>
                <w:bCs/>
                <w:color w:val="FFFFFF"/>
                <w:sz w:val="17"/>
                <w:szCs w:val="17"/>
              </w:rPr>
              <w:t xml:space="preserve">Detail</w:t>
            </w:r>
          </w:p>
        </w:tc>
      </w:tr>
      <w:tr>
        <w:tc>
          <w:tcPr>
            <w:tcW w:type="dxa" w:w="2600"/>
            <w:shd w:fill="FFFFFF" w:color="auto" w:val="clear"/>
            <w:tcMar>
              <w:top w:type="dxa" w:w="55"/>
              <w:left w:type="dxa" w:w="90"/>
              <w:bottom w:type="dxa" w:w="55"/>
              <w:right w:type="dxa" w:w="90"/>
            </w:tcMar>
          </w:tcPr>
          <w:p>
            <w:pPr>
              <w:spacing w:after="0" w:line="246"/>
            </w:pPr>
            <w:r>
              <w:rPr>
                <w:color w:val="1B1A18"/>
                <w:sz w:val="17"/>
                <w:szCs w:val="17"/>
              </w:rPr>
              <w:t xml:space="preserve">Level</w:t>
            </w:r>
          </w:p>
        </w:tc>
        <w:tc>
          <w:tcPr>
            <w:tcW w:type="dxa" w:w="7480"/>
            <w:shd w:fill="FFFFFF" w:color="auto" w:val="clear"/>
            <w:tcMar>
              <w:top w:type="dxa" w:w="55"/>
              <w:left w:type="dxa" w:w="90"/>
              <w:bottom w:type="dxa" w:w="55"/>
              <w:right w:type="dxa" w:w="90"/>
            </w:tcMar>
          </w:tcPr>
          <w:p>
            <w:pPr>
              <w:spacing w:after="0" w:line="246"/>
            </w:pPr>
            <w:r>
              <w:rPr>
                <w:color w:val="1B1A18"/>
                <w:sz w:val="17"/>
                <w:szCs w:val="17"/>
              </w:rPr>
              <w:t xml:space="preserve">Graduate law (JD / LLM); adaptable as an advanced CLE certificate</w:t>
            </w:r>
          </w:p>
        </w:tc>
      </w:tr>
      <w:tr>
        <w:tc>
          <w:tcPr>
            <w:tcW w:type="dxa" w:w="2600"/>
            <w:shd w:fill="F4F2EE" w:color="auto" w:val="clear"/>
            <w:tcMar>
              <w:top w:type="dxa" w:w="55"/>
              <w:left w:type="dxa" w:w="90"/>
              <w:bottom w:type="dxa" w:w="55"/>
              <w:right w:type="dxa" w:w="90"/>
            </w:tcMar>
          </w:tcPr>
          <w:p>
            <w:pPr>
              <w:spacing w:after="0" w:line="246"/>
            </w:pPr>
            <w:r>
              <w:rPr>
                <w:color w:val="1B1A18"/>
                <w:sz w:val="17"/>
                <w:szCs w:val="17"/>
              </w:rPr>
              <w:t xml:space="preserve">Credits</w:t>
            </w:r>
          </w:p>
        </w:tc>
        <w:tc>
          <w:tcPr>
            <w:tcW w:type="dxa" w:w="7480"/>
            <w:shd w:fill="F4F2EE" w:color="auto" w:val="clear"/>
            <w:tcMar>
              <w:top w:type="dxa" w:w="55"/>
              <w:left w:type="dxa" w:w="90"/>
              <w:bottom w:type="dxa" w:w="55"/>
              <w:right w:type="dxa" w:w="90"/>
            </w:tcMar>
          </w:tcPr>
          <w:p>
            <w:pPr>
              <w:spacing w:after="0" w:line="246"/>
            </w:pPr>
            <w:r>
              <w:rPr>
                <w:color w:val="1B1A18"/>
                <w:sz w:val="17"/>
                <w:szCs w:val="17"/>
              </w:rPr>
              <w:t xml:space="preserve">3 credits (13 weeks × one 2-hour seminar); CLE hours per accrediting body</w:t>
            </w:r>
          </w:p>
        </w:tc>
      </w:tr>
      <w:tr>
        <w:tc>
          <w:tcPr>
            <w:tcW w:type="dxa" w:w="2600"/>
            <w:shd w:fill="FFFFFF" w:color="auto" w:val="clear"/>
            <w:tcMar>
              <w:top w:type="dxa" w:w="55"/>
              <w:left w:type="dxa" w:w="90"/>
              <w:bottom w:type="dxa" w:w="55"/>
              <w:right w:type="dxa" w:w="90"/>
            </w:tcMar>
          </w:tcPr>
          <w:p>
            <w:pPr>
              <w:spacing w:after="0" w:line="246"/>
            </w:pPr>
            <w:r>
              <w:rPr>
                <w:color w:val="1B1A18"/>
                <w:sz w:val="17"/>
                <w:szCs w:val="17"/>
              </w:rPr>
              <w:t xml:space="preserve">Format</w:t>
            </w:r>
          </w:p>
        </w:tc>
        <w:tc>
          <w:tcPr>
            <w:tcW w:type="dxa" w:w="7480"/>
            <w:shd w:fill="FFFFFF" w:color="auto" w:val="clear"/>
            <w:tcMar>
              <w:top w:type="dxa" w:w="55"/>
              <w:left w:type="dxa" w:w="90"/>
              <w:bottom w:type="dxa" w:w="55"/>
              <w:right w:type="dxa" w:w="90"/>
            </w:tcMar>
          </w:tcPr>
          <w:p>
            <w:pPr>
              <w:spacing w:after="0" w:line="246"/>
            </w:pPr>
            <w:r>
              <w:rPr>
                <w:color w:val="1B1A18"/>
                <w:sz w:val="17"/>
                <w:szCs w:val="17"/>
              </w:rPr>
              <w:t xml:space="preserve">Socratic seminar: doctrine + real case records + drafting workshops</w:t>
            </w:r>
          </w:p>
        </w:tc>
      </w:tr>
      <w:tr>
        <w:tc>
          <w:tcPr>
            <w:tcW w:type="dxa" w:w="2600"/>
            <w:shd w:fill="F4F2EE" w:color="auto" w:val="clear"/>
            <w:tcMar>
              <w:top w:type="dxa" w:w="55"/>
              <w:left w:type="dxa" w:w="90"/>
              <w:bottom w:type="dxa" w:w="55"/>
              <w:right w:type="dxa" w:w="90"/>
            </w:tcMar>
          </w:tcPr>
          <w:p>
            <w:pPr>
              <w:spacing w:after="0" w:line="246"/>
            </w:pPr>
            <w:r>
              <w:rPr>
                <w:color w:val="1B1A18"/>
                <w:sz w:val="17"/>
                <w:szCs w:val="17"/>
              </w:rPr>
              <w:t xml:space="preserve">Prerequisites</w:t>
            </w:r>
          </w:p>
        </w:tc>
        <w:tc>
          <w:tcPr>
            <w:tcW w:type="dxa" w:w="7480"/>
            <w:shd w:fill="F4F2EE" w:color="auto" w:val="clear"/>
            <w:tcMar>
              <w:top w:type="dxa" w:w="55"/>
              <w:left w:type="dxa" w:w="90"/>
              <w:bottom w:type="dxa" w:w="55"/>
              <w:right w:type="dxa" w:w="90"/>
            </w:tcMar>
          </w:tcPr>
          <w:p>
            <w:pPr>
              <w:spacing w:after="0" w:line="246"/>
            </w:pPr>
            <w:r>
              <w:rPr>
                <w:color w:val="1B1A18"/>
                <w:sz w:val="17"/>
                <w:szCs w:val="17"/>
              </w:rPr>
              <w:t xml:space="preserve">1L core (contracts, torts) or equivalent; no technical background assumed</w:t>
            </w:r>
          </w:p>
        </w:tc>
      </w:tr>
      <w:tr>
        <w:tc>
          <w:tcPr>
            <w:tcW w:type="dxa" w:w="2600"/>
            <w:shd w:fill="FFFFFF" w:color="auto" w:val="clear"/>
            <w:tcMar>
              <w:top w:type="dxa" w:w="55"/>
              <w:left w:type="dxa" w:w="90"/>
              <w:bottom w:type="dxa" w:w="55"/>
              <w:right w:type="dxa" w:w="90"/>
            </w:tcMar>
          </w:tcPr>
          <w:p>
            <w:pPr>
              <w:spacing w:after="0" w:line="246"/>
            </w:pPr>
            <w:r>
              <w:rPr>
                <w:color w:val="1B1A18"/>
                <w:sz w:val="17"/>
                <w:szCs w:val="17"/>
              </w:rPr>
              <w:t xml:space="preserve">Materials</w:t>
            </w:r>
          </w:p>
        </w:tc>
        <w:tc>
          <w:tcPr>
            <w:tcW w:type="dxa" w:w="7480"/>
            <w:shd w:fill="FFFFFF" w:color="auto" w:val="clear"/>
            <w:tcMar>
              <w:top w:type="dxa" w:w="55"/>
              <w:left w:type="dxa" w:w="90"/>
              <w:bottom w:type="dxa" w:w="55"/>
              <w:right w:type="dxa" w:w="90"/>
            </w:tcMar>
          </w:tcPr>
          <w:p>
            <w:pPr>
              <w:spacing w:after="0" w:line="246"/>
            </w:pPr>
            <w:r>
              <w:rPr>
                <w:color w:val="1B1A18"/>
                <w:sz w:val="17"/>
                <w:szCs w:val="17"/>
              </w:rPr>
              <w:t xml:space="preserve">This syllabus; slides; Casebook &amp; Course Materials; the Evidence Base file (external figures, CCAF 2026); the book (recommended)</w:t>
            </w:r>
          </w:p>
        </w:tc>
      </w:tr>
      <w:tr>
        <w:tc>
          <w:tcPr>
            <w:tcW w:type="dxa" w:w="2600"/>
            <w:shd w:fill="F4F2EE" w:color="auto" w:val="clear"/>
            <w:tcMar>
              <w:top w:type="dxa" w:w="55"/>
              <w:left w:type="dxa" w:w="90"/>
              <w:bottom w:type="dxa" w:w="55"/>
              <w:right w:type="dxa" w:w="90"/>
            </w:tcMar>
          </w:tcPr>
          <w:p>
            <w:pPr>
              <w:spacing w:after="0" w:line="246"/>
            </w:pPr>
            <w:r>
              <w:rPr>
                <w:color w:val="1B1A18"/>
                <w:sz w:val="17"/>
                <w:szCs w:val="17"/>
              </w:rPr>
              <w:t xml:space="preserve">Instructor</w:t>
            </w:r>
          </w:p>
        </w:tc>
        <w:tc>
          <w:tcPr>
            <w:tcW w:type="dxa" w:w="7480"/>
            <w:shd w:fill="F4F2EE" w:color="auto" w:val="clear"/>
            <w:tcMar>
              <w:top w:type="dxa" w:w="55"/>
              <w:left w:type="dxa" w:w="90"/>
              <w:bottom w:type="dxa" w:w="55"/>
              <w:right w:type="dxa" w:w="90"/>
            </w:tcMar>
          </w:tcPr>
          <w:p>
            <w:pPr>
              <w:spacing w:after="0" w:line="246"/>
            </w:pPr>
            <w:r>
              <w:rPr>
                <w:color w:val="1B1A18"/>
                <w:sz w:val="17"/>
                <w:szCs w:val="17"/>
              </w:rPr>
              <w:t xml:space="preserve">[Instructor name] · [email] · Office hours: [time / location]</w:t>
            </w:r>
          </w:p>
        </w:tc>
      </w:tr>
    </w:tbl>
    <w:p>
      <w:pPr>
        <w:pStyle w:val="Heading1"/>
        <w:spacing w:after="130" w:before="300"/>
      </w:pPr>
      <w:r>
        <w:rPr>
          <w:b/>
          <w:bCs/>
          <w:color w:val="33302B"/>
          <w:sz w:val="29"/>
          <w:szCs w:val="29"/>
        </w:rPr>
        <w:t xml:space="preserve">Course description</w:t>
      </w:r>
    </w:p>
    <w:p>
      <w:pPr>
        <w:spacing w:after="110" w:line="276"/>
      </w:pPr>
      <w:r>
        <w:rPr>
          <w:color w:val="1B1A18"/>
          <w:sz w:val="20"/>
          <w:szCs w:val="20"/>
        </w:rPr>
        <w:t xml:space="preserve">Agentic AI — software that acts, decides, and transacts on an institution’s behalf — does not arrive in a legal vacuum. It arrives into agency, liability, evidence, record-keeping, data-protection, and professional-responsibility doctrines the law has spent centuries building. This seminar’s organising claim is that the failures now emerging are not novel ‘AI failures’ but failures of custody — of meaning, authority, accountability, coordination, coherence, and memory — that the law already knows how to name and, increasingly, to sanction. Working from an analytical framework and a set of real court and regulator decisions, students learn to attribute an agent’s acts to the institution, to interrogate the evidential status of system output, to allocate risk by contract, to write standards that bind a probabilistic system, and to observe their own professional duties when AI enters legal practice. The course is jurisdiction-neutral in its framework and expects students to ground each principle in the law in force where they will practise.</w:t>
      </w:r>
    </w:p>
    <w:p>
      <w:pPr>
        <w:pStyle w:val="Heading1"/>
        <w:spacing w:after="130" w:before="300"/>
      </w:pPr>
      <w:r>
        <w:rPr>
          <w:b/>
          <w:bCs/>
          <w:color w:val="33302B"/>
          <w:sz w:val="29"/>
          <w:szCs w:val="29"/>
        </w:rPr>
        <w:t xml:space="preserve">Learning outcomes</w:t>
      </w:r>
    </w:p>
    <w:p>
      <w:pPr>
        <w:spacing w:after="80" w:line="276"/>
      </w:pPr>
      <w:r>
        <w:rPr>
          <w:color w:val="1B1A18"/>
          <w:sz w:val="20"/>
          <w:szCs w:val="20"/>
        </w:rPr>
        <w:t xml:space="preserve">On completion, students will be able to:</w:t>
      </w:r>
    </w:p>
    <w:p>
      <w:pPr>
        <w:spacing w:after="70" w:line="268"/>
        <w:ind w:left="520" w:hanging="400"/>
      </w:pPr>
      <w:r>
        <w:rPr>
          <w:b/>
          <w:bCs/>
          <w:color w:val="33302B"/>
          <w:sz w:val="20"/>
          <w:szCs w:val="20"/>
        </w:rPr>
        <w:t xml:space="preserve">O1.  </w:t>
      </w:r>
      <w:r>
        <w:rPr>
          <w:color w:val="1B1A18"/>
          <w:sz w:val="20"/>
          <w:szCs w:val="20"/>
        </w:rPr>
        <w:t xml:space="preserve">Apply agency and attribution principles to acts performed by autonomous agents, and rebut the ‘separate entity’ defence.</w:t>
      </w:r>
    </w:p>
    <w:p>
      <w:pPr>
        <w:spacing w:after="70" w:line="268"/>
        <w:ind w:left="520" w:hanging="400"/>
      </w:pPr>
      <w:r>
        <w:rPr>
          <w:b/>
          <w:bCs/>
          <w:color w:val="33302B"/>
          <w:sz w:val="20"/>
          <w:szCs w:val="20"/>
        </w:rPr>
        <w:t xml:space="preserve">O2.  </w:t>
      </w:r>
      <w:r>
        <w:rPr>
          <w:color w:val="1B1A18"/>
          <w:sz w:val="20"/>
          <w:szCs w:val="20"/>
        </w:rPr>
        <w:t xml:space="preserve">Interrogate the evidential status of system output and identify when a record is independently trustworthy.</w:t>
      </w:r>
    </w:p>
    <w:p>
      <w:pPr>
        <w:spacing w:after="70" w:line="268"/>
        <w:ind w:left="520" w:hanging="400"/>
      </w:pPr>
      <w:r>
        <w:rPr>
          <w:b/>
          <w:bCs/>
          <w:color w:val="33302B"/>
          <w:sz w:val="20"/>
          <w:szCs w:val="20"/>
        </w:rPr>
        <w:t xml:space="preserve">O3.  </w:t>
      </w:r>
      <w:r>
        <w:rPr>
          <w:color w:val="1B1A18"/>
          <w:sz w:val="20"/>
          <w:szCs w:val="20"/>
        </w:rPr>
        <w:t xml:space="preserve">Map the six conserved properties onto the duty families of their jurisdiction and diagnose breach from a failure signature.</w:t>
      </w:r>
    </w:p>
    <w:p>
      <w:pPr>
        <w:spacing w:after="70" w:line="268"/>
        <w:ind w:left="520" w:hanging="400"/>
      </w:pPr>
      <w:r>
        <w:rPr>
          <w:b/>
          <w:bCs/>
          <w:color w:val="33302B"/>
          <w:sz w:val="20"/>
          <w:szCs w:val="20"/>
        </w:rPr>
        <w:t xml:space="preserve">O4.  </w:t>
      </w:r>
      <w:r>
        <w:rPr>
          <w:color w:val="1B1A18"/>
          <w:sz w:val="20"/>
          <w:szCs w:val="20"/>
        </w:rPr>
        <w:t xml:space="preserve">Explain why a modal (‘must/never’) duty cannot be satisfied by a probabilistic system, and locate enforcement in structure.</w:t>
      </w:r>
    </w:p>
    <w:p>
      <w:pPr>
        <w:spacing w:after="70" w:line="268"/>
        <w:ind w:left="520" w:hanging="400"/>
      </w:pPr>
      <w:r>
        <w:rPr>
          <w:b/>
          <w:bCs/>
          <w:color w:val="33302B"/>
          <w:sz w:val="20"/>
          <w:szCs w:val="20"/>
        </w:rPr>
        <w:t xml:space="preserve">O5.  </w:t>
      </w:r>
      <w:r>
        <w:rPr>
          <w:color w:val="1B1A18"/>
          <w:sz w:val="20"/>
          <w:szCs w:val="20"/>
        </w:rPr>
        <w:t xml:space="preserve">Allocate agentic-AI risk through contract terms — warranties, audit rights, sovereignty, and indemnities.</w:t>
      </w:r>
    </w:p>
    <w:p>
      <w:pPr>
        <w:spacing w:after="70" w:line="268"/>
        <w:ind w:left="520" w:hanging="400"/>
      </w:pPr>
      <w:r>
        <w:rPr>
          <w:b/>
          <w:bCs/>
          <w:color w:val="33302B"/>
          <w:sz w:val="20"/>
          <w:szCs w:val="20"/>
        </w:rPr>
        <w:t xml:space="preserve">O6.  </w:t>
      </w:r>
      <w:r>
        <w:rPr>
          <w:color w:val="1B1A18"/>
          <w:sz w:val="20"/>
          <w:szCs w:val="20"/>
        </w:rPr>
        <w:t xml:space="preserve">Draft a standard, rule, or policy that binds an agentic system, using structural-enforcement and evidence-by-construction patterns.</w:t>
      </w:r>
    </w:p>
    <w:p>
      <w:pPr>
        <w:spacing w:after="70" w:line="268"/>
        <w:ind w:left="520" w:hanging="400"/>
      </w:pPr>
      <w:r>
        <w:rPr>
          <w:b/>
          <w:bCs/>
          <w:color w:val="33302B"/>
          <w:sz w:val="20"/>
          <w:szCs w:val="20"/>
        </w:rPr>
        <w:t xml:space="preserve">O7.  </w:t>
      </w:r>
      <w:r>
        <w:rPr>
          <w:color w:val="1B1A18"/>
          <w:sz w:val="20"/>
          <w:szCs w:val="20"/>
        </w:rPr>
        <w:t xml:space="preserve">Observe the lawyer’s own duties of competence, confidentiality, candour, and supervision when using AI.</w:t>
      </w:r>
    </w:p>
    <w:p>
      <w:pPr>
        <w:spacing w:after="70" w:line="268"/>
        <w:ind w:left="520" w:hanging="400"/>
      </w:pPr>
      <w:r>
        <w:rPr>
          <w:b/>
          <w:bCs/>
          <w:color w:val="33302B"/>
          <w:sz w:val="20"/>
          <w:szCs w:val="20"/>
        </w:rPr>
        <w:t xml:space="preserve">O8.  </w:t>
      </w:r>
      <w:r>
        <w:rPr>
          <w:color w:val="1B1A18"/>
          <w:sz w:val="20"/>
          <w:szCs w:val="20"/>
        </w:rPr>
        <w:t xml:space="preserve">Run a technology-neutral evaluation protocol as legal due diligence, examination, or the backbone of a standard.</w:t>
      </w:r>
    </w:p>
    <w:p>
      <w:pPr>
        <w:pStyle w:val="Heading1"/>
        <w:spacing w:after="130" w:before="300"/>
      </w:pPr>
      <w:r>
        <w:rPr>
          <w:b/>
          <w:bCs/>
          <w:color w:val="33302B"/>
          <w:sz w:val="29"/>
          <w:szCs w:val="29"/>
        </w:rPr>
        <w:t xml:space="preserve">Weekly schedule</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400"/>
        <w:gridCol w:w="3300"/>
        <w:gridCol w:w="500"/>
        <w:gridCol w:w="3300"/>
        <w:gridCol w:w="2580"/>
      </w:tblGrid>
      <w:tr>
        <w:trPr>
          <w:tblHeader/>
        </w:trPr>
        <w:tc>
          <w:tcPr>
            <w:tcW w:type="dxa" w:w="400"/>
            <w:shd w:fill="33302B" w:color="auto" w:val="clear"/>
            <w:tcMar>
              <w:top w:type="dxa" w:w="55"/>
              <w:left w:type="dxa" w:w="90"/>
              <w:bottom w:type="dxa" w:w="55"/>
              <w:right w:type="dxa" w:w="90"/>
            </w:tcMar>
          </w:tcPr>
          <w:p>
            <w:pPr>
              <w:spacing w:after="0" w:line="246"/>
            </w:pPr>
            <w:r>
              <w:rPr>
                <w:b/>
                <w:bCs/>
                <w:color w:val="FFFFFF"/>
                <w:sz w:val="17"/>
                <w:szCs w:val="17"/>
              </w:rPr>
              <w:t xml:space="preserve">Wk</w:t>
            </w:r>
          </w:p>
        </w:tc>
        <w:tc>
          <w:tcPr>
            <w:tcW w:type="dxa" w:w="3300"/>
            <w:shd w:fill="33302B" w:color="auto" w:val="clear"/>
            <w:tcMar>
              <w:top w:type="dxa" w:w="55"/>
              <w:left w:type="dxa" w:w="90"/>
              <w:bottom w:type="dxa" w:w="55"/>
              <w:right w:type="dxa" w:w="90"/>
            </w:tcMar>
          </w:tcPr>
          <w:p>
            <w:pPr>
              <w:spacing w:after="0" w:line="246"/>
            </w:pPr>
            <w:r>
              <w:rPr>
                <w:b/>
                <w:bCs/>
                <w:color w:val="FFFFFF"/>
                <w:sz w:val="17"/>
                <w:szCs w:val="17"/>
              </w:rPr>
              <w:t xml:space="preserve">Topic</w:t>
            </w:r>
          </w:p>
        </w:tc>
        <w:tc>
          <w:tcPr>
            <w:tcW w:type="dxa" w:w="500"/>
            <w:shd w:fill="33302B" w:color="auto" w:val="clear"/>
            <w:tcMar>
              <w:top w:type="dxa" w:w="55"/>
              <w:left w:type="dxa" w:w="90"/>
              <w:bottom w:type="dxa" w:w="55"/>
              <w:right w:type="dxa" w:w="90"/>
            </w:tcMar>
          </w:tcPr>
          <w:p>
            <w:pPr>
              <w:spacing w:after="0" w:line="246"/>
            </w:pPr>
            <w:r>
              <w:rPr>
                <w:b/>
                <w:bCs/>
                <w:color w:val="FFFFFF"/>
                <w:sz w:val="17"/>
                <w:szCs w:val="17"/>
              </w:rPr>
              <w:t xml:space="preserve">Part</w:t>
            </w:r>
          </w:p>
        </w:tc>
        <w:tc>
          <w:tcPr>
            <w:tcW w:type="dxa" w:w="3300"/>
            <w:shd w:fill="33302B" w:color="auto" w:val="clear"/>
            <w:tcMar>
              <w:top w:type="dxa" w:w="55"/>
              <w:left w:type="dxa" w:w="90"/>
              <w:bottom w:type="dxa" w:w="55"/>
              <w:right w:type="dxa" w:w="90"/>
            </w:tcMar>
          </w:tcPr>
          <w:p>
            <w:pPr>
              <w:spacing w:after="0" w:line="246"/>
            </w:pPr>
            <w:r>
              <w:rPr>
                <w:b/>
                <w:bCs/>
                <w:color w:val="FFFFFF"/>
                <w:sz w:val="17"/>
                <w:szCs w:val="17"/>
              </w:rPr>
              <w:t xml:space="preserve">Principal record / reading</w:t>
            </w:r>
          </w:p>
        </w:tc>
        <w:tc>
          <w:tcPr>
            <w:tcW w:type="dxa" w:w="2580"/>
            <w:shd w:fill="33302B" w:color="auto" w:val="clear"/>
            <w:tcMar>
              <w:top w:type="dxa" w:w="55"/>
              <w:left w:type="dxa" w:w="90"/>
              <w:bottom w:type="dxa" w:w="55"/>
              <w:right w:type="dxa" w:w="90"/>
            </w:tcMar>
          </w:tcPr>
          <w:p>
            <w:pPr>
              <w:spacing w:after="0" w:line="246"/>
            </w:pPr>
            <w:r>
              <w:rPr>
                <w:b/>
                <w:bCs/>
                <w:color w:val="FFFFFF"/>
                <w:sz w:val="17"/>
                <w:szCs w:val="17"/>
              </w:rPr>
              <w:t xml:space="preserve">Assessment</w:t>
            </w:r>
          </w:p>
        </w:tc>
      </w:tr>
      <w:tr>
        <w:tc>
          <w:tcPr>
            <w:tcW w:type="dxa" w:w="400"/>
            <w:shd w:fill="FFFFFF" w:color="auto" w:val="clear"/>
            <w:tcMar>
              <w:top w:type="dxa" w:w="55"/>
              <w:left w:type="dxa" w:w="90"/>
              <w:bottom w:type="dxa" w:w="55"/>
              <w:right w:type="dxa" w:w="90"/>
            </w:tcMar>
          </w:tcPr>
          <w:p>
            <w:pPr>
              <w:spacing w:after="0" w:line="246"/>
            </w:pPr>
            <w:r>
              <w:rPr>
                <w:color w:val="1B1A18"/>
                <w:sz w:val="17"/>
                <w:szCs w:val="17"/>
              </w:rPr>
              <w:t xml:space="preserve">1</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The problem and the legal frame</w:t>
            </w:r>
          </w:p>
        </w:tc>
        <w:tc>
          <w:tcPr>
            <w:tcW w:type="dxa" w:w="500"/>
            <w:shd w:fill="FFFFFF" w:color="auto" w:val="clear"/>
            <w:tcMar>
              <w:top w:type="dxa" w:w="55"/>
              <w:left w:type="dxa" w:w="90"/>
              <w:bottom w:type="dxa" w:w="55"/>
              <w:right w:type="dxa" w:w="90"/>
            </w:tcMar>
          </w:tcPr>
          <w:p>
            <w:pPr>
              <w:spacing w:after="0" w:line="246"/>
            </w:pPr>
            <w:r>
              <w:rPr>
                <w:color w:val="1B1A18"/>
                <w:sz w:val="17"/>
                <w:szCs w:val="17"/>
              </w:rPr>
              <w:t xml:space="preserve">I</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Air Canada v. Moffatt; Ch. 1–4</w:t>
            </w:r>
          </w:p>
        </w:tc>
        <w:tc>
          <w:tcPr>
            <w:tcW w:type="dxa" w:w="2580"/>
            <w:shd w:fill="FFFFFF" w:color="auto" w:val="clear"/>
            <w:tcMar>
              <w:top w:type="dxa" w:w="55"/>
              <w:left w:type="dxa" w:w="90"/>
              <w:bottom w:type="dxa" w:w="55"/>
              <w:right w:type="dxa" w:w="90"/>
            </w:tcMar>
          </w:tcPr>
          <w:p>
            <w:pPr>
              <w:spacing w:after="0" w:line="246"/>
            </w:pPr>
            <w:r>
              <w:rPr>
                <w:color w:val="1B1A18"/>
                <w:sz w:val="17"/>
                <w:szCs w:val="17"/>
              </w:rPr>
              <w:t xml:space="preserve">—</w:t>
            </w:r>
          </w:p>
        </w:tc>
      </w:tr>
      <w:tr>
        <w:tc>
          <w:tcPr>
            <w:tcW w:type="dxa" w:w="400"/>
            <w:shd w:fill="F4F2EE" w:color="auto" w:val="clear"/>
            <w:tcMar>
              <w:top w:type="dxa" w:w="55"/>
              <w:left w:type="dxa" w:w="90"/>
              <w:bottom w:type="dxa" w:w="55"/>
              <w:right w:type="dxa" w:w="90"/>
            </w:tcMar>
          </w:tcPr>
          <w:p>
            <w:pPr>
              <w:spacing w:after="0" w:line="246"/>
            </w:pPr>
            <w:r>
              <w:rPr>
                <w:color w:val="1B1A18"/>
                <w:sz w:val="17"/>
                <w:szCs w:val="17"/>
              </w:rPr>
              <w:t xml:space="preserve">2</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The six properties as legal obligations</w:t>
            </w:r>
          </w:p>
        </w:tc>
        <w:tc>
          <w:tcPr>
            <w:tcW w:type="dxa" w:w="500"/>
            <w:shd w:fill="F4F2EE" w:color="auto" w:val="clear"/>
            <w:tcMar>
              <w:top w:type="dxa" w:w="55"/>
              <w:left w:type="dxa" w:w="90"/>
              <w:bottom w:type="dxa" w:w="55"/>
              <w:right w:type="dxa" w:w="90"/>
            </w:tcMar>
          </w:tcPr>
          <w:p>
            <w:pPr>
              <w:spacing w:after="0" w:line="246"/>
            </w:pPr>
            <w:r>
              <w:rPr>
                <w:color w:val="1B1A18"/>
                <w:sz w:val="17"/>
                <w:szCs w:val="17"/>
              </w:rPr>
              <w:t xml:space="preserve">I</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Ch. 4</w:t>
            </w:r>
          </w:p>
        </w:tc>
        <w:tc>
          <w:tcPr>
            <w:tcW w:type="dxa" w:w="2580"/>
            <w:shd w:fill="F4F2EE" w:color="auto" w:val="clear"/>
            <w:tcMar>
              <w:top w:type="dxa" w:w="55"/>
              <w:left w:type="dxa" w:w="90"/>
              <w:bottom w:type="dxa" w:w="55"/>
              <w:right w:type="dxa" w:w="90"/>
            </w:tcMar>
          </w:tcPr>
          <w:p>
            <w:pPr>
              <w:spacing w:after="0" w:line="246"/>
            </w:pPr>
            <w:r>
              <w:rPr>
                <w:color w:val="1B1A18"/>
                <w:sz w:val="17"/>
                <w:szCs w:val="17"/>
              </w:rPr>
              <w:t xml:space="preserve">—</w:t>
            </w:r>
          </w:p>
        </w:tc>
      </w:tr>
      <w:tr>
        <w:tc>
          <w:tcPr>
            <w:tcW w:type="dxa" w:w="400"/>
            <w:shd w:fill="FFFFFF" w:color="auto" w:val="clear"/>
            <w:tcMar>
              <w:top w:type="dxa" w:w="55"/>
              <w:left w:type="dxa" w:w="90"/>
              <w:bottom w:type="dxa" w:w="55"/>
              <w:right w:type="dxa" w:w="90"/>
            </w:tcMar>
          </w:tcPr>
          <w:p>
            <w:pPr>
              <w:spacing w:after="0" w:line="246"/>
            </w:pPr>
            <w:r>
              <w:rPr>
                <w:color w:val="1B1A18"/>
                <w:sz w:val="17"/>
                <w:szCs w:val="17"/>
              </w:rPr>
              <w:t xml:space="preserve">3</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Modality and the limits of the model</w:t>
            </w:r>
          </w:p>
        </w:tc>
        <w:tc>
          <w:tcPr>
            <w:tcW w:type="dxa" w:w="500"/>
            <w:shd w:fill="FFFFFF" w:color="auto" w:val="clear"/>
            <w:tcMar>
              <w:top w:type="dxa" w:w="55"/>
              <w:left w:type="dxa" w:w="90"/>
              <w:bottom w:type="dxa" w:w="55"/>
              <w:right w:type="dxa" w:w="90"/>
            </w:tcMar>
          </w:tcPr>
          <w:p>
            <w:pPr>
              <w:spacing w:after="0" w:line="246"/>
            </w:pPr>
            <w:r>
              <w:rPr>
                <w:color w:val="1B1A18"/>
                <w:sz w:val="17"/>
                <w:szCs w:val="17"/>
              </w:rPr>
              <w:t xml:space="preserve">I</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AUSTRAC v CommBank; Ch. 5, 9</w:t>
            </w:r>
          </w:p>
        </w:tc>
        <w:tc>
          <w:tcPr>
            <w:tcW w:type="dxa" w:w="2580"/>
            <w:shd w:fill="FFFFFF" w:color="auto" w:val="clear"/>
            <w:tcMar>
              <w:top w:type="dxa" w:w="55"/>
              <w:left w:type="dxa" w:w="90"/>
              <w:bottom w:type="dxa" w:w="55"/>
              <w:right w:type="dxa" w:w="90"/>
            </w:tcMar>
          </w:tcPr>
          <w:p>
            <w:pPr>
              <w:spacing w:after="0" w:line="246"/>
            </w:pPr>
            <w:r>
              <w:rPr>
                <w:color w:val="1B1A18"/>
                <w:sz w:val="17"/>
                <w:szCs w:val="17"/>
              </w:rPr>
              <w:t xml:space="preserve">—</w:t>
            </w:r>
          </w:p>
        </w:tc>
      </w:tr>
      <w:tr>
        <w:tc>
          <w:tcPr>
            <w:tcW w:type="dxa" w:w="400"/>
            <w:shd w:fill="F4F2EE" w:color="auto" w:val="clear"/>
            <w:tcMar>
              <w:top w:type="dxa" w:w="55"/>
              <w:left w:type="dxa" w:w="90"/>
              <w:bottom w:type="dxa" w:w="55"/>
              <w:right w:type="dxa" w:w="90"/>
            </w:tcMar>
          </w:tcPr>
          <w:p>
            <w:pPr>
              <w:spacing w:after="0" w:line="246"/>
            </w:pPr>
            <w:r>
              <w:rPr>
                <w:color w:val="1B1A18"/>
                <w:sz w:val="17"/>
                <w:szCs w:val="17"/>
              </w:rPr>
              <w:t xml:space="preserve">4</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Liability and agency</w:t>
            </w:r>
          </w:p>
        </w:tc>
        <w:tc>
          <w:tcPr>
            <w:tcW w:type="dxa" w:w="500"/>
            <w:shd w:fill="F4F2EE" w:color="auto" w:val="clear"/>
            <w:tcMar>
              <w:top w:type="dxa" w:w="55"/>
              <w:left w:type="dxa" w:w="90"/>
              <w:bottom w:type="dxa" w:w="55"/>
              <w:right w:type="dxa" w:w="90"/>
            </w:tcMar>
          </w:tcPr>
          <w:p>
            <w:pPr>
              <w:spacing w:after="0" w:line="246"/>
            </w:pPr>
            <w:r>
              <w:rPr>
                <w:color w:val="1B1A18"/>
                <w:sz w:val="17"/>
                <w:szCs w:val="17"/>
              </w:rPr>
              <w:t xml:space="preserve">II</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Moffatt; dealership &amp; database incidents; Ch. 7</w:t>
            </w:r>
          </w:p>
        </w:tc>
        <w:tc>
          <w:tcPr>
            <w:tcW w:type="dxa" w:w="2580"/>
            <w:shd w:fill="F4F2EE" w:color="auto" w:val="clear"/>
            <w:tcMar>
              <w:top w:type="dxa" w:w="55"/>
              <w:left w:type="dxa" w:w="90"/>
              <w:bottom w:type="dxa" w:w="55"/>
              <w:right w:type="dxa" w:w="90"/>
            </w:tcMar>
          </w:tcPr>
          <w:p>
            <w:pPr>
              <w:spacing w:after="0" w:line="246"/>
            </w:pPr>
            <w:r>
              <w:rPr>
                <w:color w:val="1B1A18"/>
                <w:sz w:val="17"/>
                <w:szCs w:val="17"/>
              </w:rPr>
              <w:t xml:space="preserve">Case memo set</w:t>
            </w:r>
          </w:p>
        </w:tc>
      </w:tr>
      <w:tr>
        <w:tc>
          <w:tcPr>
            <w:tcW w:type="dxa" w:w="400"/>
            <w:shd w:fill="FFFFFF" w:color="auto" w:val="clear"/>
            <w:tcMar>
              <w:top w:type="dxa" w:w="55"/>
              <w:left w:type="dxa" w:w="90"/>
              <w:bottom w:type="dxa" w:w="55"/>
              <w:right w:type="dxa" w:w="90"/>
            </w:tcMar>
          </w:tcPr>
          <w:p>
            <w:pPr>
              <w:spacing w:after="0" w:line="246"/>
            </w:pPr>
            <w:r>
              <w:rPr>
                <w:color w:val="1B1A18"/>
                <w:sz w:val="17"/>
                <w:szCs w:val="17"/>
              </w:rPr>
              <w:t xml:space="preserve">5</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Accountability and evidence</w:t>
            </w:r>
          </w:p>
        </w:tc>
        <w:tc>
          <w:tcPr>
            <w:tcW w:type="dxa" w:w="500"/>
            <w:shd w:fill="FFFFFF" w:color="auto" w:val="clear"/>
            <w:tcMar>
              <w:top w:type="dxa" w:w="55"/>
              <w:left w:type="dxa" w:w="90"/>
              <w:bottom w:type="dxa" w:w="55"/>
              <w:right w:type="dxa" w:w="90"/>
            </w:tcMar>
          </w:tcPr>
          <w:p>
            <w:pPr>
              <w:spacing w:after="0" w:line="246"/>
            </w:pPr>
            <w:r>
              <w:rPr>
                <w:color w:val="1B1A18"/>
                <w:sz w:val="17"/>
                <w:szCs w:val="17"/>
              </w:rPr>
              <w:t xml:space="preserve">II</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Post Office / Horizon; Citibank; Ch. 4, 18</w:t>
            </w:r>
          </w:p>
        </w:tc>
        <w:tc>
          <w:tcPr>
            <w:tcW w:type="dxa" w:w="2580"/>
            <w:shd w:fill="FFFFFF" w:color="auto" w:val="clear"/>
            <w:tcMar>
              <w:top w:type="dxa" w:w="55"/>
              <w:left w:type="dxa" w:w="90"/>
              <w:bottom w:type="dxa" w:w="55"/>
              <w:right w:type="dxa" w:w="90"/>
            </w:tcMar>
          </w:tcPr>
          <w:p>
            <w:pPr>
              <w:spacing w:after="0" w:line="246"/>
            </w:pPr>
            <w:r>
              <w:rPr>
                <w:color w:val="1B1A18"/>
                <w:sz w:val="17"/>
                <w:szCs w:val="17"/>
              </w:rPr>
              <w:t xml:space="preserve">—</w:t>
            </w:r>
          </w:p>
        </w:tc>
      </w:tr>
      <w:tr>
        <w:tc>
          <w:tcPr>
            <w:tcW w:type="dxa" w:w="400"/>
            <w:shd w:fill="F4F2EE" w:color="auto" w:val="clear"/>
            <w:tcMar>
              <w:top w:type="dxa" w:w="55"/>
              <w:left w:type="dxa" w:w="90"/>
              <w:bottom w:type="dxa" w:w="55"/>
              <w:right w:type="dxa" w:w="90"/>
            </w:tcMar>
          </w:tcPr>
          <w:p>
            <w:pPr>
              <w:spacing w:after="0" w:line="246"/>
            </w:pPr>
            <w:r>
              <w:rPr>
                <w:color w:val="1B1A18"/>
                <w:sz w:val="17"/>
                <w:szCs w:val="17"/>
              </w:rPr>
              <w:t xml:space="preserve">6</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Contract, procurement &amp; risk allocation</w:t>
            </w:r>
          </w:p>
        </w:tc>
        <w:tc>
          <w:tcPr>
            <w:tcW w:type="dxa" w:w="500"/>
            <w:shd w:fill="F4F2EE" w:color="auto" w:val="clear"/>
            <w:tcMar>
              <w:top w:type="dxa" w:w="55"/>
              <w:left w:type="dxa" w:w="90"/>
              <w:bottom w:type="dxa" w:w="55"/>
              <w:right w:type="dxa" w:w="90"/>
            </w:tcMar>
          </w:tcPr>
          <w:p>
            <w:pPr>
              <w:spacing w:after="0" w:line="246"/>
            </w:pPr>
            <w:r>
              <w:rPr>
                <w:color w:val="1B1A18"/>
                <w:sz w:val="17"/>
                <w:szCs w:val="17"/>
              </w:rPr>
              <w:t xml:space="preserve">II</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Ch. 6, 22 (protocol as diligence)</w:t>
            </w:r>
          </w:p>
        </w:tc>
        <w:tc>
          <w:tcPr>
            <w:tcW w:type="dxa" w:w="2580"/>
            <w:shd w:fill="F4F2EE" w:color="auto" w:val="clear"/>
            <w:tcMar>
              <w:top w:type="dxa" w:w="55"/>
              <w:left w:type="dxa" w:w="90"/>
              <w:bottom w:type="dxa" w:w="55"/>
              <w:right w:type="dxa" w:w="90"/>
            </w:tcMar>
          </w:tcPr>
          <w:p>
            <w:pPr>
              <w:spacing w:after="0" w:line="246"/>
            </w:pPr>
            <w:r>
              <w:rPr>
                <w:color w:val="1B1A18"/>
                <w:sz w:val="17"/>
                <w:szCs w:val="17"/>
              </w:rPr>
              <w:t xml:space="preserve">Case memo due</w:t>
            </w:r>
          </w:p>
        </w:tc>
      </w:tr>
      <w:tr>
        <w:tc>
          <w:tcPr>
            <w:tcW w:type="dxa" w:w="400"/>
            <w:shd w:fill="FFFFFF" w:color="auto" w:val="clear"/>
            <w:tcMar>
              <w:top w:type="dxa" w:w="55"/>
              <w:left w:type="dxa" w:w="90"/>
              <w:bottom w:type="dxa" w:w="55"/>
              <w:right w:type="dxa" w:w="90"/>
            </w:tcMar>
          </w:tcPr>
          <w:p>
            <w:pPr>
              <w:spacing w:after="0" w:line="246"/>
            </w:pPr>
            <w:r>
              <w:rPr>
                <w:color w:val="1B1A18"/>
                <w:sz w:val="17"/>
                <w:szCs w:val="17"/>
              </w:rPr>
              <w:t xml:space="preserve">7</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Data protection and privacy</w:t>
            </w:r>
          </w:p>
        </w:tc>
        <w:tc>
          <w:tcPr>
            <w:tcW w:type="dxa" w:w="500"/>
            <w:shd w:fill="FFFFFF" w:color="auto" w:val="clear"/>
            <w:tcMar>
              <w:top w:type="dxa" w:w="55"/>
              <w:left w:type="dxa" w:w="90"/>
              <w:bottom w:type="dxa" w:w="55"/>
              <w:right w:type="dxa" w:w="90"/>
            </w:tcMar>
          </w:tcPr>
          <w:p>
            <w:pPr>
              <w:spacing w:after="0" w:line="246"/>
            </w:pPr>
            <w:r>
              <w:rPr>
                <w:color w:val="1B1A18"/>
                <w:sz w:val="17"/>
                <w:szCs w:val="17"/>
              </w:rPr>
              <w:t xml:space="preserve">II</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Schrems II; memory-integrity records; Ch. 12–17</w:t>
            </w:r>
          </w:p>
        </w:tc>
        <w:tc>
          <w:tcPr>
            <w:tcW w:type="dxa" w:w="2580"/>
            <w:shd w:fill="FFFFFF" w:color="auto" w:val="clear"/>
            <w:tcMar>
              <w:top w:type="dxa" w:w="55"/>
              <w:left w:type="dxa" w:w="90"/>
              <w:bottom w:type="dxa" w:w="55"/>
              <w:right w:type="dxa" w:w="90"/>
            </w:tcMar>
          </w:tcPr>
          <w:p>
            <w:pPr>
              <w:spacing w:after="0" w:line="246"/>
            </w:pPr>
            <w:r>
              <w:rPr>
                <w:color w:val="1B1A18"/>
                <w:sz w:val="17"/>
                <w:szCs w:val="17"/>
              </w:rPr>
              <w:t xml:space="preserve">—</w:t>
            </w:r>
          </w:p>
        </w:tc>
      </w:tr>
      <w:tr>
        <w:tc>
          <w:tcPr>
            <w:tcW w:type="dxa" w:w="400"/>
            <w:shd w:fill="F4F2EE" w:color="auto" w:val="clear"/>
            <w:tcMar>
              <w:top w:type="dxa" w:w="55"/>
              <w:left w:type="dxa" w:w="90"/>
              <w:bottom w:type="dxa" w:w="55"/>
              <w:right w:type="dxa" w:w="90"/>
            </w:tcMar>
          </w:tcPr>
          <w:p>
            <w:pPr>
              <w:spacing w:after="0" w:line="246"/>
            </w:pPr>
            <w:r>
              <w:rPr>
                <w:color w:val="1B1A18"/>
                <w:sz w:val="17"/>
                <w:szCs w:val="17"/>
              </w:rPr>
              <w:t xml:space="preserve">8</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Financial crime, sanctions &amp; mandates</w:t>
            </w:r>
          </w:p>
        </w:tc>
        <w:tc>
          <w:tcPr>
            <w:tcW w:type="dxa" w:w="500"/>
            <w:shd w:fill="F4F2EE" w:color="auto" w:val="clear"/>
            <w:tcMar>
              <w:top w:type="dxa" w:w="55"/>
              <w:left w:type="dxa" w:w="90"/>
              <w:bottom w:type="dxa" w:w="55"/>
              <w:right w:type="dxa" w:w="90"/>
            </w:tcMar>
          </w:tcPr>
          <w:p>
            <w:pPr>
              <w:spacing w:after="0" w:line="246"/>
            </w:pPr>
            <w:r>
              <w:rPr>
                <w:color w:val="1B1A18"/>
                <w:sz w:val="17"/>
                <w:szCs w:val="17"/>
              </w:rPr>
              <w:t xml:space="preserve">II</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AUSTRAC (deep); Ch. 5, 18</w:t>
            </w:r>
          </w:p>
        </w:tc>
        <w:tc>
          <w:tcPr>
            <w:tcW w:type="dxa" w:w="2580"/>
            <w:shd w:fill="F4F2EE" w:color="auto" w:val="clear"/>
            <w:tcMar>
              <w:top w:type="dxa" w:w="55"/>
              <w:left w:type="dxa" w:w="90"/>
              <w:bottom w:type="dxa" w:w="55"/>
              <w:right w:type="dxa" w:w="90"/>
            </w:tcMar>
          </w:tcPr>
          <w:p>
            <w:pPr>
              <w:spacing w:after="0" w:line="246"/>
            </w:pPr>
            <w:r>
              <w:rPr>
                <w:color w:val="1B1A18"/>
                <w:sz w:val="17"/>
                <w:szCs w:val="17"/>
              </w:rPr>
              <w:t xml:space="preserve">Drafting exercise set</w:t>
            </w:r>
          </w:p>
        </w:tc>
      </w:tr>
      <w:tr>
        <w:tc>
          <w:tcPr>
            <w:tcW w:type="dxa" w:w="400"/>
            <w:shd w:fill="FFFFFF" w:color="auto" w:val="clear"/>
            <w:tcMar>
              <w:top w:type="dxa" w:w="55"/>
              <w:left w:type="dxa" w:w="90"/>
              <w:bottom w:type="dxa" w:w="55"/>
              <w:right w:type="dxa" w:w="90"/>
            </w:tcMar>
          </w:tcPr>
          <w:p>
            <w:pPr>
              <w:spacing w:after="0" w:line="246"/>
            </w:pPr>
            <w:r>
              <w:rPr>
                <w:color w:val="1B1A18"/>
                <w:sz w:val="17"/>
                <w:szCs w:val="17"/>
              </w:rPr>
              <w:t xml:space="preserve">9</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Consumer protection and fairness</w:t>
            </w:r>
          </w:p>
        </w:tc>
        <w:tc>
          <w:tcPr>
            <w:tcW w:type="dxa" w:w="500"/>
            <w:shd w:fill="FFFFFF" w:color="auto" w:val="clear"/>
            <w:tcMar>
              <w:top w:type="dxa" w:w="55"/>
              <w:left w:type="dxa" w:w="90"/>
              <w:bottom w:type="dxa" w:w="55"/>
              <w:right w:type="dxa" w:w="90"/>
            </w:tcMar>
          </w:tcPr>
          <w:p>
            <w:pPr>
              <w:spacing w:after="0" w:line="246"/>
            </w:pPr>
            <w:r>
              <w:rPr>
                <w:color w:val="1B1A18"/>
                <w:sz w:val="17"/>
                <w:szCs w:val="17"/>
              </w:rPr>
              <w:t xml:space="preserve">II</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Moffatt (consumer lens); Ch. 12</w:t>
            </w:r>
          </w:p>
        </w:tc>
        <w:tc>
          <w:tcPr>
            <w:tcW w:type="dxa" w:w="2580"/>
            <w:shd w:fill="FFFFFF" w:color="auto" w:val="clear"/>
            <w:tcMar>
              <w:top w:type="dxa" w:w="55"/>
              <w:left w:type="dxa" w:w="90"/>
              <w:bottom w:type="dxa" w:w="55"/>
              <w:right w:type="dxa" w:w="90"/>
            </w:tcMar>
          </w:tcPr>
          <w:p>
            <w:pPr>
              <w:spacing w:after="0" w:line="246"/>
            </w:pPr>
            <w:r>
              <w:rPr>
                <w:color w:val="1B1A18"/>
                <w:sz w:val="17"/>
                <w:szCs w:val="17"/>
              </w:rPr>
              <w:t xml:space="preserve">—</w:t>
            </w:r>
          </w:p>
        </w:tc>
      </w:tr>
      <w:tr>
        <w:tc>
          <w:tcPr>
            <w:tcW w:type="dxa" w:w="400"/>
            <w:shd w:fill="F4F2EE" w:color="auto" w:val="clear"/>
            <w:tcMar>
              <w:top w:type="dxa" w:w="55"/>
              <w:left w:type="dxa" w:w="90"/>
              <w:bottom w:type="dxa" w:w="55"/>
              <w:right w:type="dxa" w:w="90"/>
            </w:tcMar>
          </w:tcPr>
          <w:p>
            <w:pPr>
              <w:spacing w:after="0" w:line="246"/>
            </w:pPr>
            <w:r>
              <w:rPr>
                <w:color w:val="1B1A18"/>
                <w:sz w:val="17"/>
                <w:szCs w:val="17"/>
              </w:rPr>
              <w:t xml:space="preserve">10</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Administrative law and rule-writing</w:t>
            </w:r>
          </w:p>
        </w:tc>
        <w:tc>
          <w:tcPr>
            <w:tcW w:type="dxa" w:w="500"/>
            <w:shd w:fill="F4F2EE" w:color="auto" w:val="clear"/>
            <w:tcMar>
              <w:top w:type="dxa" w:w="55"/>
              <w:left w:type="dxa" w:w="90"/>
              <w:bottom w:type="dxa" w:w="55"/>
              <w:right w:type="dxa" w:w="90"/>
            </w:tcMar>
          </w:tcPr>
          <w:p>
            <w:pPr>
              <w:spacing w:after="0" w:line="246"/>
            </w:pPr>
            <w:r>
              <w:rPr>
                <w:color w:val="1B1A18"/>
                <w:sz w:val="17"/>
                <w:szCs w:val="17"/>
              </w:rPr>
              <w:t xml:space="preserve">III</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Ch. 18, 21–22</w:t>
            </w:r>
          </w:p>
        </w:tc>
        <w:tc>
          <w:tcPr>
            <w:tcW w:type="dxa" w:w="2580"/>
            <w:shd w:fill="F4F2EE" w:color="auto" w:val="clear"/>
            <w:tcMar>
              <w:top w:type="dxa" w:w="55"/>
              <w:left w:type="dxa" w:w="90"/>
              <w:bottom w:type="dxa" w:w="55"/>
              <w:right w:type="dxa" w:w="90"/>
            </w:tcMar>
          </w:tcPr>
          <w:p>
            <w:pPr>
              <w:spacing w:after="0" w:line="246"/>
            </w:pPr>
            <w:r>
              <w:rPr>
                <w:color w:val="1B1A18"/>
                <w:sz w:val="17"/>
                <w:szCs w:val="17"/>
              </w:rPr>
              <w:t xml:space="preserve">Drafting exercise due</w:t>
            </w:r>
          </w:p>
        </w:tc>
      </w:tr>
      <w:tr>
        <w:tc>
          <w:tcPr>
            <w:tcW w:type="dxa" w:w="400"/>
            <w:shd w:fill="FFFFFF" w:color="auto" w:val="clear"/>
            <w:tcMar>
              <w:top w:type="dxa" w:w="55"/>
              <w:left w:type="dxa" w:w="90"/>
              <w:bottom w:type="dxa" w:w="55"/>
              <w:right w:type="dxa" w:w="90"/>
            </w:tcMar>
          </w:tcPr>
          <w:p>
            <w:pPr>
              <w:spacing w:after="0" w:line="246"/>
            </w:pPr>
            <w:r>
              <w:rPr>
                <w:color w:val="1B1A18"/>
                <w:sz w:val="17"/>
                <w:szCs w:val="17"/>
              </w:rPr>
              <w:t xml:space="preserve">11</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Cross-border, sovereignty &amp; systemic risk</w:t>
            </w:r>
          </w:p>
        </w:tc>
        <w:tc>
          <w:tcPr>
            <w:tcW w:type="dxa" w:w="500"/>
            <w:shd w:fill="FFFFFF" w:color="auto" w:val="clear"/>
            <w:tcMar>
              <w:top w:type="dxa" w:w="55"/>
              <w:left w:type="dxa" w:w="90"/>
              <w:bottom w:type="dxa" w:w="55"/>
              <w:right w:type="dxa" w:w="90"/>
            </w:tcMar>
          </w:tcPr>
          <w:p>
            <w:pPr>
              <w:spacing w:after="0" w:line="246"/>
            </w:pPr>
            <w:r>
              <w:rPr>
                <w:color w:val="1B1A18"/>
                <w:sz w:val="17"/>
                <w:szCs w:val="17"/>
              </w:rPr>
              <w:t xml:space="preserve">III</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Schrems II; CrowdStrike; Ch. 16–17, 20</w:t>
            </w:r>
          </w:p>
        </w:tc>
        <w:tc>
          <w:tcPr>
            <w:tcW w:type="dxa" w:w="2580"/>
            <w:shd w:fill="FFFFFF" w:color="auto" w:val="clear"/>
            <w:tcMar>
              <w:top w:type="dxa" w:w="55"/>
              <w:left w:type="dxa" w:w="90"/>
              <w:bottom w:type="dxa" w:w="55"/>
              <w:right w:type="dxa" w:w="90"/>
            </w:tcMar>
          </w:tcPr>
          <w:p>
            <w:pPr>
              <w:spacing w:after="0" w:line="246"/>
            </w:pPr>
            <w:r>
              <w:rPr>
                <w:color w:val="1B1A18"/>
                <w:sz w:val="17"/>
                <w:szCs w:val="17"/>
              </w:rPr>
              <w:t xml:space="preserve">Capstone proposal</w:t>
            </w:r>
          </w:p>
        </w:tc>
      </w:tr>
      <w:tr>
        <w:tc>
          <w:tcPr>
            <w:tcW w:type="dxa" w:w="400"/>
            <w:shd w:fill="F4F2EE" w:color="auto" w:val="clear"/>
            <w:tcMar>
              <w:top w:type="dxa" w:w="55"/>
              <w:left w:type="dxa" w:w="90"/>
              <w:bottom w:type="dxa" w:w="55"/>
              <w:right w:type="dxa" w:w="90"/>
            </w:tcMar>
          </w:tcPr>
          <w:p>
            <w:pPr>
              <w:spacing w:after="0" w:line="246"/>
            </w:pPr>
            <w:r>
              <w:rPr>
                <w:color w:val="1B1A18"/>
                <w:sz w:val="17"/>
                <w:szCs w:val="17"/>
              </w:rPr>
              <w:t xml:space="preserve">12</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Professional responsibility &amp; the lawyer’s AI</w:t>
            </w:r>
          </w:p>
        </w:tc>
        <w:tc>
          <w:tcPr>
            <w:tcW w:type="dxa" w:w="500"/>
            <w:shd w:fill="F4F2EE" w:color="auto" w:val="clear"/>
            <w:tcMar>
              <w:top w:type="dxa" w:w="55"/>
              <w:left w:type="dxa" w:w="90"/>
              <w:bottom w:type="dxa" w:w="55"/>
              <w:right w:type="dxa" w:w="90"/>
            </w:tcMar>
          </w:tcPr>
          <w:p>
            <w:pPr>
              <w:spacing w:after="0" w:line="246"/>
            </w:pPr>
            <w:r>
              <w:rPr>
                <w:color w:val="1B1A18"/>
                <w:sz w:val="17"/>
                <w:szCs w:val="17"/>
              </w:rPr>
              <w:t xml:space="preserve">III</w:t>
            </w:r>
          </w:p>
        </w:tc>
        <w:tc>
          <w:tcPr>
            <w:tcW w:type="dxa" w:w="3300"/>
            <w:shd w:fill="F4F2EE" w:color="auto" w:val="clear"/>
            <w:tcMar>
              <w:top w:type="dxa" w:w="55"/>
              <w:left w:type="dxa" w:w="90"/>
              <w:bottom w:type="dxa" w:w="55"/>
              <w:right w:type="dxa" w:w="90"/>
            </w:tcMar>
          </w:tcPr>
          <w:p>
            <w:pPr>
              <w:spacing w:after="0" w:line="246"/>
            </w:pPr>
            <w:r>
              <w:rPr>
                <w:color w:val="1B1A18"/>
                <w:sz w:val="17"/>
                <w:szCs w:val="17"/>
              </w:rPr>
              <w:t xml:space="preserve">Bar rules &amp; guidance; Moffatt</w:t>
            </w:r>
          </w:p>
        </w:tc>
        <w:tc>
          <w:tcPr>
            <w:tcW w:type="dxa" w:w="2580"/>
            <w:shd w:fill="F4F2EE" w:color="auto" w:val="clear"/>
            <w:tcMar>
              <w:top w:type="dxa" w:w="55"/>
              <w:left w:type="dxa" w:w="90"/>
              <w:bottom w:type="dxa" w:w="55"/>
              <w:right w:type="dxa" w:w="90"/>
            </w:tcMar>
          </w:tcPr>
          <w:p>
            <w:pPr>
              <w:spacing w:after="0" w:line="246"/>
            </w:pPr>
            <w:r>
              <w:rPr>
                <w:color w:val="1B1A18"/>
                <w:sz w:val="17"/>
                <w:szCs w:val="17"/>
              </w:rPr>
              <w:t xml:space="preserve">—</w:t>
            </w:r>
          </w:p>
        </w:tc>
      </w:tr>
      <w:tr>
        <w:tc>
          <w:tcPr>
            <w:tcW w:type="dxa" w:w="400"/>
            <w:shd w:fill="FFFFFF" w:color="auto" w:val="clear"/>
            <w:tcMar>
              <w:top w:type="dxa" w:w="55"/>
              <w:left w:type="dxa" w:w="90"/>
              <w:bottom w:type="dxa" w:w="55"/>
              <w:right w:type="dxa" w:w="90"/>
            </w:tcMar>
          </w:tcPr>
          <w:p>
            <w:pPr>
              <w:spacing w:after="0" w:line="246"/>
            </w:pPr>
            <w:r>
              <w:rPr>
                <w:color w:val="1B1A18"/>
                <w:sz w:val="17"/>
                <w:szCs w:val="17"/>
              </w:rPr>
              <w:t xml:space="preserve">13</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The evaluation toolkit &amp; capstone</w:t>
            </w:r>
          </w:p>
        </w:tc>
        <w:tc>
          <w:tcPr>
            <w:tcW w:type="dxa" w:w="500"/>
            <w:shd w:fill="FFFFFF" w:color="auto" w:val="clear"/>
            <w:tcMar>
              <w:top w:type="dxa" w:w="55"/>
              <w:left w:type="dxa" w:w="90"/>
              <w:bottom w:type="dxa" w:w="55"/>
              <w:right w:type="dxa" w:w="90"/>
            </w:tcMar>
          </w:tcPr>
          <w:p>
            <w:pPr>
              <w:spacing w:after="0" w:line="246"/>
            </w:pPr>
            <w:r>
              <w:rPr>
                <w:color w:val="1B1A18"/>
                <w:sz w:val="17"/>
                <w:szCs w:val="17"/>
              </w:rPr>
              <w:t xml:space="preserve">III</w:t>
            </w:r>
          </w:p>
        </w:tc>
        <w:tc>
          <w:tcPr>
            <w:tcW w:type="dxa" w:w="3300"/>
            <w:shd w:fill="FFFFFF" w:color="auto" w:val="clear"/>
            <w:tcMar>
              <w:top w:type="dxa" w:w="55"/>
              <w:left w:type="dxa" w:w="90"/>
              <w:bottom w:type="dxa" w:w="55"/>
              <w:right w:type="dxa" w:w="90"/>
            </w:tcMar>
          </w:tcPr>
          <w:p>
            <w:pPr>
              <w:spacing w:after="0" w:line="246"/>
            </w:pPr>
            <w:r>
              <w:rPr>
                <w:color w:val="1B1A18"/>
                <w:sz w:val="17"/>
                <w:szCs w:val="17"/>
              </w:rPr>
              <w:t xml:space="preserve">Ch. 22–23</w:t>
            </w:r>
          </w:p>
        </w:tc>
        <w:tc>
          <w:tcPr>
            <w:tcW w:type="dxa" w:w="2580"/>
            <w:shd w:fill="FFFFFF" w:color="auto" w:val="clear"/>
            <w:tcMar>
              <w:top w:type="dxa" w:w="55"/>
              <w:left w:type="dxa" w:w="90"/>
              <w:bottom w:type="dxa" w:w="55"/>
              <w:right w:type="dxa" w:w="90"/>
            </w:tcMar>
          </w:tcPr>
          <w:p>
            <w:pPr>
              <w:spacing w:after="0" w:line="246"/>
            </w:pPr>
            <w:r>
              <w:rPr>
                <w:color w:val="1B1A18"/>
                <w:sz w:val="17"/>
                <w:szCs w:val="17"/>
              </w:rPr>
              <w:t xml:space="preserve">Capstone presentations</w:t>
            </w:r>
          </w:p>
        </w:tc>
      </w:tr>
    </w:tbl>
    <w:p>
      <w:pPr>
        <w:pStyle w:val="Heading1"/>
        <w:spacing w:after="130" w:before="300"/>
      </w:pPr>
      <w:r>
        <w:rPr>
          <w:b/>
          <w:bCs/>
          <w:color w:val="33302B"/>
          <w:sz w:val="29"/>
          <w:szCs w:val="29"/>
        </w:rPr>
        <w:t xml:space="preserve">Assessment</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5800"/>
        <w:gridCol w:w="1500"/>
        <w:gridCol w:w="2780"/>
      </w:tblGrid>
      <w:tr>
        <w:trPr>
          <w:tblHeader/>
        </w:trPr>
        <w:tc>
          <w:tcPr>
            <w:tcW w:type="dxa" w:w="5800"/>
            <w:shd w:fill="33302B" w:color="auto" w:val="clear"/>
            <w:tcMar>
              <w:top w:type="dxa" w:w="55"/>
              <w:left w:type="dxa" w:w="90"/>
              <w:bottom w:type="dxa" w:w="55"/>
              <w:right w:type="dxa" w:w="90"/>
            </w:tcMar>
          </w:tcPr>
          <w:p>
            <w:pPr>
              <w:spacing w:after="0" w:line="246"/>
            </w:pPr>
            <w:r>
              <w:rPr>
                <w:b/>
                <w:bCs/>
                <w:color w:val="FFFFFF"/>
                <w:sz w:val="17"/>
                <w:szCs w:val="17"/>
              </w:rPr>
              <w:t xml:space="preserve">Component</w:t>
            </w:r>
          </w:p>
        </w:tc>
        <w:tc>
          <w:tcPr>
            <w:tcW w:type="dxa" w:w="1500"/>
            <w:shd w:fill="33302B" w:color="auto" w:val="clear"/>
            <w:tcMar>
              <w:top w:type="dxa" w:w="55"/>
              <w:left w:type="dxa" w:w="90"/>
              <w:bottom w:type="dxa" w:w="55"/>
              <w:right w:type="dxa" w:w="90"/>
            </w:tcMar>
          </w:tcPr>
          <w:p>
            <w:pPr>
              <w:spacing w:after="0" w:line="246"/>
            </w:pPr>
            <w:r>
              <w:rPr>
                <w:b/>
                <w:bCs/>
                <w:color w:val="FFFFFF"/>
                <w:sz w:val="17"/>
                <w:szCs w:val="17"/>
              </w:rPr>
              <w:t xml:space="preserve">Weight</w:t>
            </w:r>
          </w:p>
        </w:tc>
        <w:tc>
          <w:tcPr>
            <w:tcW w:type="dxa" w:w="2780"/>
            <w:shd w:fill="33302B" w:color="auto" w:val="clear"/>
            <w:tcMar>
              <w:top w:type="dxa" w:w="55"/>
              <w:left w:type="dxa" w:w="90"/>
              <w:bottom w:type="dxa" w:w="55"/>
              <w:right w:type="dxa" w:w="90"/>
            </w:tcMar>
          </w:tcPr>
          <w:p>
            <w:pPr>
              <w:spacing w:after="0" w:line="246"/>
            </w:pPr>
            <w:r>
              <w:rPr>
                <w:b/>
                <w:bCs/>
                <w:color w:val="FFFFFF"/>
                <w:sz w:val="17"/>
                <w:szCs w:val="17"/>
              </w:rPr>
              <w:t xml:space="preserve">When</w:t>
            </w:r>
          </w:p>
        </w:tc>
      </w:tr>
      <w:tr>
        <w:tc>
          <w:tcPr>
            <w:tcW w:type="dxa" w:w="5800"/>
            <w:shd w:fill="FFFFFF" w:color="auto" w:val="clear"/>
            <w:tcMar>
              <w:top w:type="dxa" w:w="55"/>
              <w:left w:type="dxa" w:w="90"/>
              <w:bottom w:type="dxa" w:w="55"/>
              <w:right w:type="dxa" w:w="90"/>
            </w:tcMar>
          </w:tcPr>
          <w:p>
            <w:pPr>
              <w:spacing w:after="0" w:line="246"/>
            </w:pPr>
            <w:r>
              <w:rPr>
                <w:color w:val="1B1A18"/>
                <w:sz w:val="17"/>
                <w:szCs w:val="17"/>
              </w:rPr>
              <w:t xml:space="preserve">Seminar participation (Socratic; prepared)</w:t>
            </w:r>
          </w:p>
        </w:tc>
        <w:tc>
          <w:tcPr>
            <w:tcW w:type="dxa" w:w="1500"/>
            <w:shd w:fill="FFFFFF" w:color="auto" w:val="clear"/>
            <w:tcMar>
              <w:top w:type="dxa" w:w="55"/>
              <w:left w:type="dxa" w:w="90"/>
              <w:bottom w:type="dxa" w:w="55"/>
              <w:right w:type="dxa" w:w="90"/>
            </w:tcMar>
          </w:tcPr>
          <w:p>
            <w:pPr>
              <w:spacing w:after="0" w:line="246"/>
            </w:pPr>
            <w:r>
              <w:rPr>
                <w:color w:val="1B1A18"/>
                <w:sz w:val="17"/>
                <w:szCs w:val="17"/>
              </w:rPr>
              <w:t xml:space="preserve">15%</w:t>
            </w:r>
          </w:p>
        </w:tc>
        <w:tc>
          <w:tcPr>
            <w:tcW w:type="dxa" w:w="2780"/>
            <w:shd w:fill="FFFFFF" w:color="auto" w:val="clear"/>
            <w:tcMar>
              <w:top w:type="dxa" w:w="55"/>
              <w:left w:type="dxa" w:w="90"/>
              <w:bottom w:type="dxa" w:w="55"/>
              <w:right w:type="dxa" w:w="90"/>
            </w:tcMar>
          </w:tcPr>
          <w:p>
            <w:pPr>
              <w:spacing w:after="0" w:line="246"/>
            </w:pPr>
            <w:r>
              <w:rPr>
                <w:color w:val="1B1A18"/>
                <w:sz w:val="17"/>
                <w:szCs w:val="17"/>
              </w:rPr>
              <w:t xml:space="preserve">Ongoing</w:t>
            </w:r>
          </w:p>
        </w:tc>
      </w:tr>
      <w:tr>
        <w:tc>
          <w:tcPr>
            <w:tcW w:type="dxa" w:w="5800"/>
            <w:shd w:fill="F4F2EE" w:color="auto" w:val="clear"/>
            <w:tcMar>
              <w:top w:type="dxa" w:w="55"/>
              <w:left w:type="dxa" w:w="90"/>
              <w:bottom w:type="dxa" w:w="55"/>
              <w:right w:type="dxa" w:w="90"/>
            </w:tcMar>
          </w:tcPr>
          <w:p>
            <w:pPr>
              <w:spacing w:after="0" w:line="246"/>
            </w:pPr>
            <w:r>
              <w:rPr>
                <w:color w:val="1B1A18"/>
                <w:sz w:val="17"/>
                <w:szCs w:val="17"/>
              </w:rPr>
              <w:t xml:space="preserve">Case analysis memo</w:t>
            </w:r>
          </w:p>
        </w:tc>
        <w:tc>
          <w:tcPr>
            <w:tcW w:type="dxa" w:w="1500"/>
            <w:shd w:fill="F4F2EE" w:color="auto" w:val="clear"/>
            <w:tcMar>
              <w:top w:type="dxa" w:w="55"/>
              <w:left w:type="dxa" w:w="90"/>
              <w:bottom w:type="dxa" w:w="55"/>
              <w:right w:type="dxa" w:w="90"/>
            </w:tcMar>
          </w:tcPr>
          <w:p>
            <w:pPr>
              <w:spacing w:after="0" w:line="246"/>
            </w:pPr>
            <w:r>
              <w:rPr>
                <w:color w:val="1B1A18"/>
                <w:sz w:val="17"/>
                <w:szCs w:val="17"/>
              </w:rPr>
              <w:t xml:space="preserve">20%</w:t>
            </w:r>
          </w:p>
        </w:tc>
        <w:tc>
          <w:tcPr>
            <w:tcW w:type="dxa" w:w="2780"/>
            <w:shd w:fill="F4F2EE" w:color="auto" w:val="clear"/>
            <w:tcMar>
              <w:top w:type="dxa" w:w="55"/>
              <w:left w:type="dxa" w:w="90"/>
              <w:bottom w:type="dxa" w:w="55"/>
              <w:right w:type="dxa" w:w="90"/>
            </w:tcMar>
          </w:tcPr>
          <w:p>
            <w:pPr>
              <w:spacing w:after="0" w:line="246"/>
            </w:pPr>
            <w:r>
              <w:rPr>
                <w:color w:val="1B1A18"/>
                <w:sz w:val="17"/>
                <w:szCs w:val="17"/>
              </w:rPr>
              <w:t xml:space="preserve">Set Wk 4, due Wk 6</w:t>
            </w:r>
          </w:p>
        </w:tc>
      </w:tr>
      <w:tr>
        <w:tc>
          <w:tcPr>
            <w:tcW w:type="dxa" w:w="5800"/>
            <w:shd w:fill="FFFFFF" w:color="auto" w:val="clear"/>
            <w:tcMar>
              <w:top w:type="dxa" w:w="55"/>
              <w:left w:type="dxa" w:w="90"/>
              <w:bottom w:type="dxa" w:w="55"/>
              <w:right w:type="dxa" w:w="90"/>
            </w:tcMar>
          </w:tcPr>
          <w:p>
            <w:pPr>
              <w:spacing w:after="0" w:line="246"/>
            </w:pPr>
            <w:r>
              <w:rPr>
                <w:color w:val="1B1A18"/>
                <w:sz w:val="17"/>
                <w:szCs w:val="17"/>
              </w:rPr>
              <w:t xml:space="preserve">Drafting exercise (rule, contract clauses, or policy)</w:t>
            </w:r>
          </w:p>
        </w:tc>
        <w:tc>
          <w:tcPr>
            <w:tcW w:type="dxa" w:w="1500"/>
            <w:shd w:fill="FFFFFF" w:color="auto" w:val="clear"/>
            <w:tcMar>
              <w:top w:type="dxa" w:w="55"/>
              <w:left w:type="dxa" w:w="90"/>
              <w:bottom w:type="dxa" w:w="55"/>
              <w:right w:type="dxa" w:w="90"/>
            </w:tcMar>
          </w:tcPr>
          <w:p>
            <w:pPr>
              <w:spacing w:after="0" w:line="246"/>
            </w:pPr>
            <w:r>
              <w:rPr>
                <w:color w:val="1B1A18"/>
                <w:sz w:val="17"/>
                <w:szCs w:val="17"/>
              </w:rPr>
              <w:t xml:space="preserve">20%</w:t>
            </w:r>
          </w:p>
        </w:tc>
        <w:tc>
          <w:tcPr>
            <w:tcW w:type="dxa" w:w="2780"/>
            <w:shd w:fill="FFFFFF" w:color="auto" w:val="clear"/>
            <w:tcMar>
              <w:top w:type="dxa" w:w="55"/>
              <w:left w:type="dxa" w:w="90"/>
              <w:bottom w:type="dxa" w:w="55"/>
              <w:right w:type="dxa" w:w="90"/>
            </w:tcMar>
          </w:tcPr>
          <w:p>
            <w:pPr>
              <w:spacing w:after="0" w:line="246"/>
            </w:pPr>
            <w:r>
              <w:rPr>
                <w:color w:val="1B1A18"/>
                <w:sz w:val="17"/>
                <w:szCs w:val="17"/>
              </w:rPr>
              <w:t xml:space="preserve">Set Wk 8, due Wk 10</w:t>
            </w:r>
          </w:p>
        </w:tc>
      </w:tr>
      <w:tr>
        <w:tc>
          <w:tcPr>
            <w:tcW w:type="dxa" w:w="5800"/>
            <w:shd w:fill="F4F2EE" w:color="auto" w:val="clear"/>
            <w:tcMar>
              <w:top w:type="dxa" w:w="55"/>
              <w:left w:type="dxa" w:w="90"/>
              <w:bottom w:type="dxa" w:w="55"/>
              <w:right w:type="dxa" w:w="90"/>
            </w:tcMar>
          </w:tcPr>
          <w:p>
            <w:pPr>
              <w:spacing w:after="0" w:line="246"/>
            </w:pPr>
            <w:r>
              <w:rPr>
                <w:color w:val="1B1A18"/>
                <w:sz w:val="17"/>
                <w:szCs w:val="17"/>
              </w:rPr>
              <w:t xml:space="preserve">Capstone paper (5,000–6,000 words)</w:t>
            </w:r>
          </w:p>
        </w:tc>
        <w:tc>
          <w:tcPr>
            <w:tcW w:type="dxa" w:w="1500"/>
            <w:shd w:fill="F4F2EE" w:color="auto" w:val="clear"/>
            <w:tcMar>
              <w:top w:type="dxa" w:w="55"/>
              <w:left w:type="dxa" w:w="90"/>
              <w:bottom w:type="dxa" w:w="55"/>
              <w:right w:type="dxa" w:w="90"/>
            </w:tcMar>
          </w:tcPr>
          <w:p>
            <w:pPr>
              <w:spacing w:after="0" w:line="246"/>
            </w:pPr>
            <w:r>
              <w:rPr>
                <w:color w:val="1B1A18"/>
                <w:sz w:val="17"/>
                <w:szCs w:val="17"/>
              </w:rPr>
              <w:t xml:space="preserve">45%</w:t>
            </w:r>
          </w:p>
        </w:tc>
        <w:tc>
          <w:tcPr>
            <w:tcW w:type="dxa" w:w="2780"/>
            <w:shd w:fill="F4F2EE" w:color="auto" w:val="clear"/>
            <w:tcMar>
              <w:top w:type="dxa" w:w="55"/>
              <w:left w:type="dxa" w:w="90"/>
              <w:bottom w:type="dxa" w:w="55"/>
              <w:right w:type="dxa" w:w="90"/>
            </w:tcMar>
          </w:tcPr>
          <w:p>
            <w:pPr>
              <w:spacing w:after="0" w:line="246"/>
            </w:pPr>
            <w:r>
              <w:rPr>
                <w:color w:val="1B1A18"/>
                <w:sz w:val="17"/>
                <w:szCs w:val="17"/>
              </w:rPr>
              <w:t xml:space="preserve">Proposal Wk 11; paper in exam period</w:t>
            </w:r>
          </w:p>
        </w:tc>
      </w:tr>
    </w:tbl>
    <w:p>
      <w:pPr>
        <w:pStyle w:val="Heading1"/>
        <w:spacing w:after="130" w:before="300"/>
      </w:pPr>
      <w:r>
        <w:rPr>
          <w:b/>
          <w:bCs/>
          <w:color w:val="33302B"/>
          <w:sz w:val="29"/>
          <w:szCs w:val="29"/>
        </w:rPr>
        <w:t xml:space="preserve">Use of AI, and academic integrity</w:t>
      </w:r>
    </w:p>
    <w:p>
      <w:pPr>
        <w:spacing w:after="110" w:line="276"/>
      </w:pPr>
      <w:r>
        <w:rPr>
          <w:color w:val="1B1A18"/>
          <w:sz w:val="20"/>
          <w:szCs w:val="20"/>
        </w:rPr>
        <w:t xml:space="preserve">This is a course about AI; thoughtful use of AI tools is permitted and, for the drafting and capstone work, encouraged — but it is governed by two rules. First, disclosure: state where and how you used an AI tool. Second, verification and ownership: every citation must be checked against the primary source (fabricated authority is a serious violation and a professional-responsibility lesson in itself), and the legal analysis and judgement must be your own. Standard [Institution] integrity rules apply.</w:t>
      </w:r>
    </w:p>
    <w:p>
      <w:pPr>
        <w:pStyle w:val="Heading1"/>
        <w:spacing w:after="130" w:before="300"/>
      </w:pPr>
      <w:r>
        <w:rPr>
          <w:b/>
          <w:bCs/>
          <w:color w:val="33302B"/>
          <w:sz w:val="29"/>
          <w:szCs w:val="29"/>
        </w:rPr>
        <w:t xml:space="preserve">A note on professional responsibility</w:t>
      </w:r>
    </w:p>
    <w:p>
      <w:pPr>
        <w:spacing w:after="110" w:line="276"/>
      </w:pPr>
      <w:r>
        <w:rPr>
          <w:color w:val="1B1A18"/>
          <w:sz w:val="20"/>
          <w:szCs w:val="20"/>
        </w:rPr>
        <w:t xml:space="preserve">Several sessions touch the students’ own future conduct. Nothing in this course is legal advice or a substitute for the rules of professional conduct in force in the student’s jurisdiction; where the course discusses duties of competence, confidentiality, candour, or supervision, students should consult their own bar’s rules and guidance.</w:t>
      </w:r>
    </w:p>
    <w:p>
      <w:pPr>
        <w:pStyle w:val="Heading1"/>
        <w:spacing w:after="130" w:before="300"/>
      </w:pPr>
      <w:r>
        <w:rPr>
          <w:b/>
          <w:bCs/>
          <w:color w:val="33302B"/>
          <w:sz w:val="29"/>
          <w:szCs w:val="29"/>
        </w:rPr>
        <w:t xml:space="preserve">Reference — the framework in one page</w:t>
      </w:r>
    </w:p>
    <w:p>
      <w:pPr>
        <w:spacing w:after="110" w:line="276"/>
      </w:pPr>
      <w:r>
        <w:rPr>
          <w:b/>
          <w:bCs/>
          <w:color w:val="1B1A18"/>
          <w:sz w:val="20"/>
          <w:szCs w:val="20"/>
        </w:rPr>
        <w:t xml:space="preserve">The frame: </w:t>
      </w:r>
      <w:r>
        <w:rPr>
          <w:color w:val="1B1A18"/>
          <w:sz w:val="20"/>
          <w:szCs w:val="20"/>
        </w:rPr>
        <w:t xml:space="preserve">an institution answers for its participants; supervision and liability follow what the structure carries across each boundary (‘crossing’), not the vocabulary used to describe it.</w:t>
      </w:r>
    </w:p>
    <w:p>
      <w:pPr>
        <w:spacing w:after="110" w:line="276"/>
      </w:pPr>
      <w:r>
        <w:rPr>
          <w:b/>
          <w:bCs/>
          <w:color w:val="1B1A18"/>
          <w:sz w:val="20"/>
          <w:szCs w:val="20"/>
        </w:rPr>
        <w:t xml:space="preserve">The six properties: </w:t>
      </w:r>
      <w:r>
        <w:rPr>
          <w:color w:val="1B1A18"/>
          <w:sz w:val="20"/>
          <w:szCs w:val="20"/>
        </w:rPr>
        <w:t xml:space="preserve">context, authority, accountability, coordination, execution coherence, institutional memory — each mapping to a family of legal duties.</w:t>
      </w:r>
    </w:p>
    <w:p>
      <w:pPr>
        <w:spacing w:after="110" w:line="276"/>
      </w:pPr>
      <w:r>
        <w:rPr>
          <w:b/>
          <w:bCs/>
          <w:color w:val="1B1A18"/>
          <w:sz w:val="20"/>
          <w:szCs w:val="20"/>
        </w:rPr>
        <w:t xml:space="preserve">The four axioms: </w:t>
      </w:r>
      <w:r>
        <w:rPr>
          <w:color w:val="1B1A18"/>
          <w:sz w:val="20"/>
          <w:szCs w:val="20"/>
        </w:rPr>
        <w:t xml:space="preserve">regulatory determinism, probabilistic behaviour, perpetual variance, audit primacy. Jointly: a modal duty cannot live in a probabilistic model.</w:t>
      </w:r>
    </w:p>
    <w:p>
      <w:pPr>
        <w:spacing w:after="110" w:line="276"/>
      </w:pPr>
      <w:r>
        <w:rPr>
          <w:b/>
          <w:bCs/>
          <w:color w:val="1B1A18"/>
          <w:sz w:val="20"/>
          <w:szCs w:val="20"/>
        </w:rPr>
        <w:t xml:space="preserve">The instrument: </w:t>
      </w:r>
      <w:r>
        <w:rPr>
          <w:color w:val="1B1A18"/>
          <w:sz w:val="20"/>
          <w:szCs w:val="20"/>
        </w:rPr>
        <w:t xml:space="preserve">the nine-test protocol — ‘show the crossing, and show what survives it’ — usable as due diligence, examination, or standard; and the meta-rule: every component replaceable, no property ever.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Law of the Agentic Enterprise · educational, not legal advice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 the Agentic Enterprise — Syllabus</dc:title>
  <dc:creator>MudoZangl — Law of the Agentic Enterprise</dc:creator>
  <cp:lastModifiedBy>Un-named</cp:lastModifiedBy>
  <cp:revision>1</cp:revision>
  <dcterms:created xsi:type="dcterms:W3CDTF">2026-08-17T11:48:19.681Z</dcterms:created>
  <dcterms:modified xsi:type="dcterms:W3CDTF">2026-08-17T11:48:19.681Z</dcterms:modified>
</cp:coreProperties>
</file>

<file path=docProps/custom.xml><?xml version="1.0" encoding="utf-8"?>
<Properties xmlns="http://schemas.openxmlformats.org/officeDocument/2006/custom-properties" xmlns:vt="http://schemas.openxmlformats.org/officeDocument/2006/docPropsVTypes"/>
</file>