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0"/>
        <w:jc w:val="center"/>
      </w:pPr>
      <w:r>
        <w:rPr>
          <w:b/>
          <w:bCs/>
          <w:caps/>
          <w:color w:val="33302B"/>
          <w:sz w:val="18"/>
          <w:szCs w:val="18"/>
        </w:rPr>
        <w:t xml:space="preserve">Curriculum support file · all levels</w:t>
      </w:r>
    </w:p>
    <w:p>
      <w:pPr>
        <w:spacing w:after="60"/>
        <w:jc w:val="center"/>
      </w:pPr>
      <w:r>
        <w:rPr>
          <w:b/>
          <w:bCs/>
          <w:color w:val="1B1A18"/>
          <w:sz w:val="39"/>
          <w:szCs w:val="39"/>
        </w:rPr>
        <w:t xml:space="preserve">Evidence Base</w:t>
      </w:r>
    </w:p>
    <w:p>
      <w:pPr>
        <w:spacing w:after="160"/>
        <w:jc w:val="center"/>
      </w:pPr>
      <w:r>
        <w:rPr>
          <w:i/>
          <w:iCs/>
          <w:color w:val="6E6A62"/>
          <w:sz w:val="23"/>
          <w:szCs w:val="23"/>
        </w:rPr>
        <w:t xml:space="preserve">External Corroboration and Teaching Figures</w:t>
      </w:r>
    </w:p>
    <w:p>
      <w:pPr>
        <w:spacing w:after="40"/>
        <w:jc w:val="center"/>
      </w:pPr>
      <w:r>
        <w:rPr>
          <w:color w:val="1B1A18"/>
          <w:sz w:val="20"/>
          <w:szCs w:val="20"/>
        </w:rPr>
        <w:t xml:space="preserve">Companion to the curriculum derived from </w:t>
      </w:r>
      <w:r>
        <w:rPr>
          <w:i/>
          <w:iCs/>
          <w:color w:val="1B1A18"/>
          <w:sz w:val="20"/>
          <w:szCs w:val="20"/>
        </w:rPr>
        <w:t xml:space="preserve">What the Structure Does Not Carry</w:t>
      </w:r>
    </w:p>
    <w:p>
      <w:pPr>
        <w:spacing w:after="240"/>
        <w:jc w:val="center"/>
      </w:pPr>
      <w:r>
        <w:rPr>
          <w:color w:val="6E6A62"/>
          <w:sz w:val="20"/>
          <w:szCs w:val="20"/>
        </w:rPr>
        <w:t xml:space="preserve">Georg Zangl · Foreword by Egbert U. Imomoh · 2026</w:t>
      </w:r>
    </w:p>
    <w:p>
      <w:pPr>
        <w:spacing w:after="240"/>
        <w:jc w:val="center"/>
      </w:pPr>
      <w:r>
        <w:rPr>
          <w:b/>
          <w:bCs/>
          <w:color w:val="33302B"/>
          <w:sz w:val="18"/>
          <w:szCs w:val="18"/>
        </w:rPr>
        <w:t xml:space="preserve">Version 1.0 · figures as at April 2026 · single point of update for all external figures</w:t>
      </w:r>
    </w:p>
    <w:tbl>
      <w:tblPr>
        <w:tblW w:type="dxa" w:w="10080"/>
        <w:tblBorders>
          <w:top w:val="single" w:color="D6D2C9" w:sz="4"/>
          <w:left w:val="single" w:color="33302B" w:sz="12"/>
          <w:bottom w:val="single" w:color="D6D2C9" w:sz="4"/>
          <w:right w:val="single" w:color="D6D2C9" w:sz="4"/>
          <w:insideH w:val="none"/>
          <w:insideV w:val="none"/>
        </w:tblBorders>
      </w:tblPr>
      <w:tblGrid>
        <w:gridCol w:w="10080"/>
      </w:tblGrid>
      <w:tr>
        <w:tc>
          <w:tcPr>
            <w:tcW w:type="dxa" w:w="10080"/>
            <w:shd w:fill="F4F2EE" w:color="auto" w:val="clear"/>
            <w:tcMar>
              <w:top w:type="dxa" w:w="120"/>
              <w:left w:type="dxa" w:w="160"/>
              <w:bottom w:type="dxa" w:w="120"/>
              <w:right w:type="dxa" w:w="160"/>
            </w:tcMar>
          </w:tcPr>
          <w:p>
            <w:pPr>
              <w:spacing w:after="0" w:line="264"/>
            </w:pPr>
            <w:r>
              <w:rPr>
                <w:b/>
                <w:bCs/>
                <w:color w:val="1B1A18"/>
                <w:sz w:val="20"/>
                <w:szCs w:val="20"/>
              </w:rPr>
              <w:t xml:space="preserve">Figures age; the structure does not. </w:t>
            </w:r>
            <w:r>
              <w:rPr>
                <w:color w:val="1B1A18"/>
                <w:sz w:val="20"/>
                <w:szCs w:val="20"/>
              </w:rPr>
              <w:t xml:space="preserve">Every percentage in this file is drawn from one dated, self-reported survey of one sector. It is used to show that the problem the curriculum addresses is present and measured in the field — never as the derivation of anything. The law, the six properties, the four axioms, and the nine tests come from the book and stand without these numbers. When the figures are superseded, replace this file; do not edit them into the teaching materials.</w:t>
            </w:r>
          </w:p>
        </w:tc>
      </w:tr>
    </w:tbl>
    <w:p>
      <w:pPr>
        <w:pStyle w:val="Heading1"/>
        <w:spacing w:after="140" w:before="320"/>
      </w:pPr>
      <w:r>
        <w:rPr>
          <w:b/>
          <w:bCs/>
          <w:color w:val="33302B"/>
          <w:sz w:val="29"/>
          <w:szCs w:val="29"/>
        </w:rPr>
        <w:t xml:space="preserve">1 · What this file is, and how to use it</w:t>
      </w:r>
    </w:p>
    <w:p>
      <w:pPr>
        <w:spacing w:after="120" w:before="0" w:line="276"/>
      </w:pPr>
      <w:r>
        <w:rPr>
          <w:color w:val="1B1A18"/>
          <w:sz w:val="20"/>
          <w:szCs w:val="20"/>
        </w:rPr>
        <w:t xml:space="preserve">This file holds the curriculum’s external evidence in one place. It exists so that no percentage is copied into a syllabus, a slide, a worksheet, or a casebook. Instructors read from here; the teaching materials stay figure-free and therefore stay current.</w:t>
      </w:r>
    </w:p>
    <w:p>
      <w:pPr>
        <w:spacing w:after="120" w:before="0" w:line="276"/>
      </w:pPr>
      <w:r>
        <w:rPr>
          <w:color w:val="1B1A18"/>
          <w:sz w:val="20"/>
          <w:szCs w:val="20"/>
        </w:rPr>
        <w:t xml:space="preserve">Three rules govern its use.</w:t>
      </w:r>
    </w:p>
    <w:p>
      <w:pPr>
        <w:pStyle w:val="ListParagraph"/>
        <w:numPr>
          <w:ilvl w:val="0"/>
          <w:numId w:val="2"/>
        </w:numPr>
        <w:spacing w:after="70" w:line="276"/>
      </w:pPr>
      <w:r>
        <w:rPr>
          <w:b/>
          <w:bCs/>
          <w:color w:val="1B1A18"/>
          <w:sz w:val="20"/>
          <w:szCs w:val="20"/>
        </w:rPr>
        <w:t xml:space="preserve">Corroboration, not authority. </w:t>
      </w:r>
      <w:r>
        <w:rPr>
          <w:color w:val="1B1A18"/>
          <w:sz w:val="20"/>
          <w:szCs w:val="20"/>
        </w:rPr>
        <w:t xml:space="preserve">The report measures symptoms. It does not supply the law. Where a figure is used, it motivates a property or a test — it never proves one. A course that leans on the numbers instead of the derivation has been taught backwards.</w:t>
      </w:r>
    </w:p>
    <w:p>
      <w:pPr>
        <w:pStyle w:val="ListParagraph"/>
        <w:numPr>
          <w:ilvl w:val="0"/>
          <w:numId w:val="2"/>
        </w:numPr>
        <w:spacing w:after="70" w:line="276"/>
      </w:pPr>
      <w:r>
        <w:rPr>
          <w:b/>
          <w:bCs/>
          <w:color w:val="1B1A18"/>
          <w:sz w:val="20"/>
          <w:szCs w:val="20"/>
        </w:rPr>
        <w:t xml:space="preserve">Cite the cut. </w:t>
      </w:r>
      <w:r>
        <w:rPr>
          <w:color w:val="1B1A18"/>
          <w:sz w:val="20"/>
          <w:szCs w:val="20"/>
        </w:rPr>
        <w:t xml:space="preserve">Most findings differ by respondent group and by question. The same finding can be 42%, 51%, 55%, or 60% depending on whose answers are counted. Always state the group and, where given, the n. Section 7 sets this out.</w:t>
      </w:r>
    </w:p>
    <w:p>
      <w:pPr>
        <w:pStyle w:val="ListParagraph"/>
        <w:numPr>
          <w:ilvl w:val="0"/>
          <w:numId w:val="2"/>
        </w:numPr>
        <w:spacing w:after="70" w:line="276"/>
      </w:pPr>
      <w:r>
        <w:rPr>
          <w:b/>
          <w:bCs/>
          <w:color w:val="1B1A18"/>
          <w:sz w:val="20"/>
          <w:szCs w:val="20"/>
        </w:rPr>
        <w:t xml:space="preserve">One file, one update. </w:t>
      </w:r>
      <w:r>
        <w:rPr>
          <w:color w:val="1B1A18"/>
          <w:sz w:val="20"/>
          <w:szCs w:val="20"/>
        </w:rPr>
        <w:t xml:space="preserve">When the next edition of the survey is published, this file is reissued and the version number advances. Nothing else in the bundle changes.</w:t>
      </w:r>
    </w:p>
    <w:p>
      <w:pPr>
        <w:pStyle w:val="Heading1"/>
        <w:spacing w:after="140" w:before="320"/>
      </w:pPr>
      <w:r>
        <w:rPr>
          <w:b/>
          <w:bCs/>
          <w:color w:val="33302B"/>
          <w:sz w:val="29"/>
          <w:szCs w:val="29"/>
        </w:rPr>
        <w:t xml:space="preserve">2 · The source</w:t>
      </w:r>
    </w:p>
    <w:p>
      <w:pPr>
        <w:spacing w:after="120" w:before="0" w:line="276"/>
      </w:pPr>
      <w:r>
        <w:rPr>
          <w:i/>
          <w:iCs/>
          <w:color w:val="1B1A18"/>
          <w:sz w:val="20"/>
          <w:szCs w:val="20"/>
        </w:rPr>
        <w:t xml:space="preserve">The 2026 Global AI in Financial Services Report: Adoption, impact and risks</w:t>
      </w:r>
      <w:r>
        <w:rPr>
          <w:color w:val="1B1A18"/>
          <w:sz w:val="20"/>
          <w:szCs w:val="20"/>
        </w:rPr>
        <w:t xml:space="preserve"> was published in April 2026 by the Cambridge Centre for Alternative Finance (CCAF) at the University of Cambridge Judge Business School, in collaboration with Financial Innovation for Impact and a consortium including the Bank for International Settlements, the International Monetary Fund, the World Economic Forum, the World Bank Group, the Inter-American Development Bank, CGAP and the Arab Monetary Fund, with the support of the UK Foreign, Commonwealth and Development Office. It builds on the 2020 CCAF–WEF AI report.</w:t>
      </w:r>
    </w:p>
    <w:p>
      <w:pPr>
        <w:spacing w:after="120"/>
      </w:pPr>
    </w:p>
    <w:tbl>
      <w:tblPr>
        <w:tblW w:type="dxa" w:w="10080"/>
        <w:tblBorders>
          <w:top w:val="single" w:color="D6D2C9" w:sz="4"/>
          <w:left w:val="single" w:color="D6D2C9" w:sz="4"/>
          <w:bottom w:val="single" w:color="D6D2C9" w:sz="4"/>
          <w:right w:val="single" w:color="D6D2C9" w:sz="4"/>
          <w:insideH w:val="single" w:color="D6D2C9" w:sz="4"/>
          <w:insideV w:val="single" w:color="D6D2C9" w:sz="4"/>
        </w:tblBorders>
      </w:tblPr>
      <w:tblGrid>
        <w:gridCol w:w="2600"/>
        <w:gridCol w:w="7480"/>
      </w:tblGrid>
      <w:tr>
        <w:trPr>
          <w:tblHeader/>
        </w:trPr>
        <w:tc>
          <w:tcPr>
            <w:tcW w:type="dxa" w:w="260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Attribute</w:t>
            </w:r>
          </w:p>
        </w:tc>
        <w:tc>
          <w:tcPr>
            <w:tcW w:type="dxa" w:w="748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Detail</w:t>
            </w:r>
          </w:p>
        </w:tc>
      </w:tr>
      <w:tr>
        <w:tc>
          <w:tcPr>
            <w:tcW w:type="dxa" w:w="26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Respondents</w:t>
            </w:r>
          </w:p>
        </w:tc>
        <w:tc>
          <w:tcPr>
            <w:tcW w:type="dxa" w:w="74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628 organisations: 203 fintechs, 149 traditional financial institutions, 146 AI vendors, 130 central banks and other financial regulators</w:t>
            </w:r>
          </w:p>
        </w:tc>
      </w:tr>
      <w:tr>
        <w:tc>
          <w:tcPr>
            <w:tcW w:type="dxa" w:w="26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Coverage</w:t>
            </w:r>
          </w:p>
        </w:tc>
        <w:tc>
          <w:tcPr>
            <w:tcW w:type="dxa" w:w="74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151 jurisdictions; advanced economies and emerging markets and developing economies (EMDEs)</w:t>
            </w:r>
          </w:p>
        </w:tc>
      </w:tr>
      <w:tr>
        <w:tc>
          <w:tcPr>
            <w:tcW w:type="dxa" w:w="26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Method</w:t>
            </w:r>
          </w:p>
        </w:tc>
        <w:tc>
          <w:tcPr>
            <w:tcW w:type="dxa" w:w="74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Self-reported survey, single point in time; n varies by question and is reported per figure</w:t>
            </w:r>
          </w:p>
        </w:tc>
      </w:tr>
      <w:tr>
        <w:tc>
          <w:tcPr>
            <w:tcW w:type="dxa" w:w="26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Scope limit</w:t>
            </w:r>
          </w:p>
        </w:tc>
        <w:tc>
          <w:tcPr>
            <w:tcW w:type="dxa" w:w="74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Financial services only. Do not present any figure in this file as cross-sector.</w:t>
            </w:r>
          </w:p>
        </w:tc>
      </w:tr>
      <w:tr>
        <w:tc>
          <w:tcPr>
            <w:tcW w:type="dxa" w:w="26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Suggested citation</w:t>
            </w:r>
          </w:p>
        </w:tc>
        <w:tc>
          <w:tcPr>
            <w:tcW w:type="dxa" w:w="74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2026 Global AI in Financial Services Report: Adoption, impact and risks, Cambridge Centre for Alternative Finance, University of Cambridge</w:t>
            </w:r>
          </w:p>
        </w:tc>
      </w:tr>
    </w:tbl>
    <w:p>
      <w:pPr>
        <w:spacing w:after="140"/>
      </w:pPr>
    </w:p>
    <w:p>
      <w:pPr>
        <w:spacing w:after="120" w:before="0" w:line="276"/>
      </w:pPr>
      <w:r>
        <w:rPr>
          <w:color w:val="1B1A18"/>
          <w:sz w:val="20"/>
          <w:szCs w:val="20"/>
        </w:rPr>
        <w:t xml:space="preserve">Why it is worth naming in a syllabus: it is the one place an adopting department can look to see that the premise of this curriculum is not a single author’s thesis about a hypothetical future. The consortium behind it is the standard-setting and development-finance establishment, and the sample is large enough to survive a sceptical reading.</w:t>
      </w:r>
    </w:p>
    <w:p>
      <w:pPr>
        <w:pStyle w:val="Heading1"/>
        <w:spacing w:after="140" w:before="320"/>
      </w:pPr>
      <w:r>
        <w:rPr>
          <w:b/>
          <w:bCs/>
          <w:color w:val="33302B"/>
          <w:sz w:val="29"/>
          <w:szCs w:val="29"/>
        </w:rPr>
        <w:t xml:space="preserve">3 · Slide two for every deck: the premise is not speculative</w:t>
      </w:r>
    </w:p>
    <w:p>
      <w:pPr>
        <w:spacing w:after="140" w:line="276"/>
      </w:pPr>
      <w:r>
        <w:rPr>
          <w:i/>
          <w:iCs/>
          <w:color w:val="6E6A62"/>
          <w:sz w:val="20"/>
          <w:szCs w:val="20"/>
        </w:rPr>
        <w:t xml:space="preserve">The single most common objection to this curriculum is that it teaches for a deployment pattern that has not arrived. These five figures answer it in thirty seconds. Use them once, early, and then return to the argument.</w:t>
      </w:r>
    </w:p>
    <w:p>
      <w:pPr>
        <w:pStyle w:val="ListParagraph"/>
        <w:numPr>
          <w:ilvl w:val="0"/>
          <w:numId w:val="2"/>
        </w:numPr>
        <w:spacing w:after="70" w:line="276"/>
      </w:pPr>
      <w:r>
        <w:rPr>
          <w:b/>
          <w:bCs/>
          <w:color w:val="1B1A18"/>
          <w:sz w:val="20"/>
          <w:szCs w:val="20"/>
        </w:rPr>
        <w:t xml:space="preserve">Agentic AI is in active adoption among 52% of industry respondents</w:t>
      </w:r>
      <w:r>
        <w:rPr>
          <w:color w:val="1B1A18"/>
          <w:sz w:val="20"/>
          <w:szCs w:val="20"/>
        </w:rPr>
        <w:t xml:space="preserve"> — 29% piloting and 23% already at a Scaling or Transforming stage.</w:t>
      </w:r>
    </w:p>
    <w:p>
      <w:pPr>
        <w:pStyle w:val="ListParagraph"/>
        <w:numPr>
          <w:ilvl w:val="0"/>
          <w:numId w:val="2"/>
        </w:numPr>
        <w:spacing w:after="70" w:line="276"/>
      </w:pPr>
      <w:r>
        <w:rPr>
          <w:b/>
          <w:bCs/>
          <w:color w:val="1B1A18"/>
          <w:sz w:val="20"/>
          <w:szCs w:val="20"/>
        </w:rPr>
        <w:t xml:space="preserve">81% expect agentic AI to be meaningfully achieved by 2030</w:t>
      </w:r>
      <w:r>
        <w:rPr>
          <w:color w:val="1B1A18"/>
          <w:sz w:val="20"/>
          <w:szCs w:val="20"/>
        </w:rPr>
        <w:t xml:space="preserve">, making it the clearest growth frontier in the survey.</w:t>
      </w:r>
    </w:p>
    <w:p>
      <w:pPr>
        <w:pStyle w:val="ListParagraph"/>
        <w:numPr>
          <w:ilvl w:val="0"/>
          <w:numId w:val="2"/>
        </w:numPr>
        <w:spacing w:after="70" w:line="276"/>
      </w:pPr>
      <w:r>
        <w:rPr>
          <w:b/>
          <w:bCs/>
          <w:color w:val="1B1A18"/>
          <w:sz w:val="20"/>
          <w:szCs w:val="20"/>
        </w:rPr>
        <w:t xml:space="preserve">81% of surveyed financial services firms are adopting AI at some level</w:t>
      </w:r>
      <w:r>
        <w:rPr>
          <w:color w:val="1B1A18"/>
          <w:sz w:val="20"/>
          <w:szCs w:val="20"/>
        </w:rPr>
        <w:t xml:space="preserve">; 40% of industry respondents report advanced adoption, against 20% of regulators.</w:t>
      </w:r>
    </w:p>
    <w:p>
      <w:pPr>
        <w:pStyle w:val="ListParagraph"/>
        <w:numPr>
          <w:ilvl w:val="0"/>
          <w:numId w:val="2"/>
        </w:numPr>
        <w:spacing w:after="70" w:line="276"/>
      </w:pPr>
      <w:r>
        <w:rPr>
          <w:b/>
          <w:bCs/>
          <w:color w:val="1B1A18"/>
          <w:sz w:val="20"/>
          <w:szCs w:val="20"/>
        </w:rPr>
        <w:t xml:space="preserve">Fintechs are ahead of traditional institutions on agentic AI, 57% to 45%</w:t>
      </w:r>
      <w:r>
        <w:rPr>
          <w:color w:val="1B1A18"/>
          <w:sz w:val="20"/>
          <w:szCs w:val="20"/>
        </w:rPr>
        <w:t xml:space="preserve"> — the gap that shows the pattern spreading rather than stalling.</w:t>
      </w:r>
    </w:p>
    <w:p>
      <w:pPr>
        <w:pStyle w:val="ListParagraph"/>
        <w:numPr>
          <w:ilvl w:val="0"/>
          <w:numId w:val="2"/>
        </w:numPr>
        <w:spacing w:after="70" w:line="276"/>
      </w:pPr>
      <w:r>
        <w:rPr>
          <w:b/>
          <w:bCs/>
          <w:color w:val="1B1A18"/>
          <w:sz w:val="20"/>
          <w:szCs w:val="20"/>
        </w:rPr>
        <w:t xml:space="preserve">Only 14% of industry respondents see AI as transformational to strategy and competitive advantage</w:t>
      </w:r>
      <w:r>
        <w:rPr>
          <w:color w:val="1B1A18"/>
          <w:sz w:val="20"/>
          <w:szCs w:val="20"/>
        </w:rPr>
        <w:t xml:space="preserve"> — adoption is running well ahead of integration. The report calls this an execution gap. This course calls it what happens when nothing holds the properties.</w:t>
      </w:r>
    </w:p>
    <w:p>
      <w:pPr>
        <w:spacing w:after="120"/>
      </w:pPr>
    </w:p>
    <w:tbl>
      <w:tblPr>
        <w:tblW w:type="dxa" w:w="10080"/>
        <w:tblBorders>
          <w:top w:val="single" w:color="D6D2C9" w:sz="4"/>
          <w:left w:val="single" w:color="33302B" w:sz="12"/>
          <w:bottom w:val="single" w:color="D6D2C9" w:sz="4"/>
          <w:right w:val="single" w:color="D6D2C9" w:sz="4"/>
          <w:insideH w:val="none"/>
          <w:insideV w:val="none"/>
        </w:tblBorders>
      </w:tblPr>
      <w:tblGrid>
        <w:gridCol w:w="10080"/>
      </w:tblGrid>
      <w:tr>
        <w:tc>
          <w:tcPr>
            <w:tcW w:type="dxa" w:w="10080"/>
            <w:shd w:fill="F4F2EE" w:color="auto" w:val="clear"/>
            <w:tcMar>
              <w:top w:type="dxa" w:w="120"/>
              <w:left w:type="dxa" w:w="160"/>
              <w:bottom w:type="dxa" w:w="120"/>
              <w:right w:type="dxa" w:w="160"/>
            </w:tcMar>
          </w:tcPr>
          <w:p>
            <w:pPr>
              <w:spacing w:after="0" w:line="264"/>
            </w:pPr>
            <w:r>
              <w:rPr>
                <w:b/>
                <w:bCs/>
                <w:color w:val="1B1A18"/>
                <w:sz w:val="20"/>
                <w:szCs w:val="20"/>
              </w:rPr>
              <w:t xml:space="preserve">The teaching point, not the number. </w:t>
            </w:r>
            <w:r>
              <w:rPr>
                <w:color w:val="1B1A18"/>
                <w:sz w:val="20"/>
                <w:szCs w:val="20"/>
              </w:rPr>
              <w:t xml:space="preserve">Adoption at 52% with 23% scaling is not a mandate to build faster. It is the measurement of a subsidy being withdrawn at scale, in a regulated sector, before the replacement exists. The whole curriculum follows from that sentence; the figure only dates it.</w:t>
            </w:r>
          </w:p>
        </w:tc>
      </w:tr>
    </w:tbl>
    <w:p>
      <w:pPr>
        <w:pStyle w:val="Heading1"/>
        <w:spacing w:after="140" w:before="320"/>
      </w:pPr>
      <w:r>
        <w:rPr>
          <w:b/>
          <w:bCs/>
          <w:color w:val="33302B"/>
          <w:sz w:val="29"/>
          <w:szCs w:val="29"/>
        </w:rPr>
        <w:t xml:space="preserve">4 · The central corroboration: collective forgetting</w:t>
      </w:r>
    </w:p>
    <w:p>
      <w:pPr>
        <w:spacing w:after="120" w:before="0" w:line="276"/>
      </w:pPr>
      <w:r>
        <w:rPr>
          <w:color w:val="1B1A18"/>
          <w:sz w:val="20"/>
          <w:szCs w:val="20"/>
        </w:rPr>
        <w:t xml:space="preserve">The report’s glossary carries an entry the curriculum should treat as its most valuable external asset. Under the heading collective forgetting, it defines a systemic risk tied to automation in which organisations lose the institutional memory and the capability to execute processes manually if required.</w:t>
      </w:r>
    </w:p>
    <w:p>
      <w:pPr>
        <w:spacing w:after="120" w:before="0" w:line="276"/>
      </w:pPr>
      <w:r>
        <w:rPr>
          <w:color w:val="1B1A18"/>
          <w:sz w:val="20"/>
          <w:szCs w:val="20"/>
        </w:rPr>
        <w:t xml:space="preserve">That is the sixth property, named independently, by a body with no interest in this book’s argument, and then measured.</w:t>
      </w:r>
    </w:p>
    <w:p>
      <w:pPr>
        <w:spacing w:after="120"/>
      </w:pPr>
    </w:p>
    <w:tbl>
      <w:tblPr>
        <w:tblW w:type="dxa" w:w="10080"/>
        <w:tblBorders>
          <w:top w:val="single" w:color="D6D2C9" w:sz="4"/>
          <w:left w:val="single" w:color="D6D2C9" w:sz="4"/>
          <w:bottom w:val="single" w:color="D6D2C9" w:sz="4"/>
          <w:right w:val="single" w:color="D6D2C9" w:sz="4"/>
          <w:insideH w:val="single" w:color="D6D2C9" w:sz="4"/>
          <w:insideV w:val="single" w:color="D6D2C9" w:sz="4"/>
        </w:tblBorders>
      </w:tblPr>
      <w:tblGrid>
        <w:gridCol w:w="3400"/>
        <w:gridCol w:w="3400"/>
        <w:gridCol w:w="3280"/>
      </w:tblGrid>
      <w:tr>
        <w:trPr>
          <w:tblHeader/>
        </w:trPr>
        <w:tc>
          <w:tcPr>
            <w:tcW w:type="dxa" w:w="340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Cut</w:t>
            </w:r>
          </w:p>
        </w:tc>
        <w:tc>
          <w:tcPr>
            <w:tcW w:type="dxa" w:w="340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Figure</w:t>
            </w:r>
          </w:p>
        </w:tc>
        <w:tc>
          <w:tcPr>
            <w:tcW w:type="dxa" w:w="328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Use it for</w:t>
            </w:r>
          </w:p>
        </w:tc>
      </w:tr>
      <w:tr>
        <w:tc>
          <w:tcPr>
            <w:tcW w:type="dxa" w:w="3400"/>
            <w:shd w:fill="FFFFFF" w:color="auto" w:val="clear"/>
            <w:tcMar>
              <w:top w:type="dxa" w:w="60"/>
              <w:left w:type="dxa" w:w="90"/>
              <w:bottom w:type="dxa" w:w="60"/>
              <w:right w:type="dxa" w:w="90"/>
            </w:tcMar>
          </w:tcPr>
          <w:p>
            <w:pPr>
              <w:spacing w:after="0" w:line="250"/>
            </w:pPr>
            <w:r>
              <w:rPr>
                <w:b/>
                <w:bCs/>
                <w:i w:val="false"/>
                <w:iCs w:val="false"/>
                <w:color w:val="33302B"/>
                <w:sz w:val="18"/>
                <w:szCs w:val="18"/>
              </w:rPr>
              <w:t xml:space="preserve">All respondents</w:t>
            </w:r>
          </w:p>
        </w:tc>
        <w:tc>
          <w:tcPr>
            <w:tcW w:type="dxa" w:w="34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51% — the third highest AI risk overall</w:t>
            </w:r>
          </w:p>
        </w:tc>
        <w:tc>
          <w:tcPr>
            <w:tcW w:type="dxa" w:w="32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headline. Institutional memory is not a niche architectural concern; it ranks above cyber resilience across the whole sample.</w:t>
            </w:r>
          </w:p>
        </w:tc>
      </w:tr>
      <w:tr>
        <w:tc>
          <w:tcPr>
            <w:tcW w:type="dxa" w:w="3400"/>
            <w:shd w:fill="FFFFFF" w:color="auto" w:val="clear"/>
            <w:tcMar>
              <w:top w:type="dxa" w:w="60"/>
              <w:left w:type="dxa" w:w="90"/>
              <w:bottom w:type="dxa" w:w="60"/>
              <w:right w:type="dxa" w:w="90"/>
            </w:tcMar>
          </w:tcPr>
          <w:p>
            <w:pPr>
              <w:spacing w:after="0" w:line="250"/>
            </w:pPr>
            <w:r>
              <w:rPr>
                <w:b/>
                <w:bCs/>
                <w:i w:val="false"/>
                <w:iCs w:val="false"/>
                <w:color w:val="33302B"/>
                <w:sz w:val="18"/>
                <w:szCs w:val="18"/>
              </w:rPr>
              <w:t xml:space="preserve">Industry</w:t>
            </w:r>
          </w:p>
        </w:tc>
        <w:tc>
          <w:tcPr>
            <w:tcW w:type="dxa" w:w="34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55%</w:t>
            </w:r>
          </w:p>
        </w:tc>
        <w:tc>
          <w:tcPr>
            <w:tcW w:type="dxa" w:w="32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default industry figure.</w:t>
            </w:r>
          </w:p>
        </w:tc>
      </w:tr>
      <w:tr>
        <w:tc>
          <w:tcPr>
            <w:tcW w:type="dxa" w:w="3400"/>
            <w:shd w:fill="FFFFFF" w:color="auto" w:val="clear"/>
            <w:tcMar>
              <w:top w:type="dxa" w:w="60"/>
              <w:left w:type="dxa" w:w="90"/>
              <w:bottom w:type="dxa" w:w="60"/>
              <w:right w:type="dxa" w:w="90"/>
            </w:tcMar>
          </w:tcPr>
          <w:p>
            <w:pPr>
              <w:spacing w:after="0" w:line="250"/>
            </w:pPr>
            <w:r>
              <w:rPr>
                <w:b/>
                <w:bCs/>
                <w:i w:val="false"/>
                <w:iCs w:val="false"/>
                <w:color w:val="33302B"/>
                <w:sz w:val="18"/>
                <w:szCs w:val="18"/>
              </w:rPr>
              <w:t xml:space="preserve">AI vendors</w:t>
            </w:r>
          </w:p>
        </w:tc>
        <w:tc>
          <w:tcPr>
            <w:tcW w:type="dxa" w:w="34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51%</w:t>
            </w:r>
          </w:p>
        </w:tc>
        <w:tc>
          <w:tcPr>
            <w:tcW w:type="dxa" w:w="32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Vendors share the concern — useful against the assumption that suppliers dismiss it.</w:t>
            </w:r>
          </w:p>
        </w:tc>
      </w:tr>
      <w:tr>
        <w:tc>
          <w:tcPr>
            <w:tcW w:type="dxa" w:w="3400"/>
            <w:shd w:fill="FFFFFF" w:color="auto" w:val="clear"/>
            <w:tcMar>
              <w:top w:type="dxa" w:w="60"/>
              <w:left w:type="dxa" w:w="90"/>
              <w:bottom w:type="dxa" w:w="60"/>
              <w:right w:type="dxa" w:w="90"/>
            </w:tcMar>
          </w:tcPr>
          <w:p>
            <w:pPr>
              <w:spacing w:after="0" w:line="250"/>
            </w:pPr>
            <w:r>
              <w:rPr>
                <w:b/>
                <w:bCs/>
                <w:i w:val="false"/>
                <w:iCs w:val="false"/>
                <w:color w:val="33302B"/>
                <w:sz w:val="18"/>
                <w:szCs w:val="18"/>
              </w:rPr>
              <w:t xml:space="preserve">Regulators</w:t>
            </w:r>
          </w:p>
        </w:tc>
        <w:tc>
          <w:tcPr>
            <w:tcW w:type="dxa" w:w="34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42%</w:t>
            </w:r>
          </w:p>
        </w:tc>
        <w:tc>
          <w:tcPr>
            <w:tcW w:type="dxa" w:w="32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supervisory blind spot. Supervisors rate it lowest of the three groups.</w:t>
            </w:r>
          </w:p>
        </w:tc>
      </w:tr>
      <w:tr>
        <w:tc>
          <w:tcPr>
            <w:tcW w:type="dxa" w:w="3400"/>
            <w:shd w:fill="FFFFFF" w:color="auto" w:val="clear"/>
            <w:tcMar>
              <w:top w:type="dxa" w:w="60"/>
              <w:left w:type="dxa" w:w="90"/>
              <w:bottom w:type="dxa" w:w="60"/>
              <w:right w:type="dxa" w:w="90"/>
            </w:tcMar>
          </w:tcPr>
          <w:p>
            <w:pPr>
              <w:spacing w:after="0" w:line="250"/>
            </w:pPr>
            <w:r>
              <w:rPr>
                <w:b/>
                <w:bCs/>
                <w:i w:val="false"/>
                <w:iCs w:val="false"/>
                <w:color w:val="33302B"/>
                <w:sz w:val="18"/>
                <w:szCs w:val="18"/>
              </w:rPr>
              <w:t xml:space="preserve">Traditional FIs</w:t>
            </w:r>
          </w:p>
        </w:tc>
        <w:tc>
          <w:tcPr>
            <w:tcW w:type="dxa" w:w="34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60%</w:t>
            </w:r>
          </w:p>
        </w:tc>
        <w:tc>
          <w:tcPr>
            <w:tcW w:type="dxa" w:w="32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Incumbents, who have the most process history to lose, are the most concerned. Cite only with the group stated.</w:t>
            </w:r>
          </w:p>
        </w:tc>
      </w:tr>
    </w:tbl>
    <w:p>
      <w:pPr>
        <w:spacing w:after="140"/>
      </w:pPr>
    </w:p>
    <w:p>
      <w:pPr>
        <w:spacing w:after="120" w:before="0" w:line="276"/>
      </w:pPr>
      <w:r>
        <w:rPr>
          <w:color w:val="1B1A18"/>
          <w:sz w:val="20"/>
          <w:szCs w:val="20"/>
        </w:rPr>
        <w:t xml:space="preserve">The report goes further and supplies the mechanism. It links the risk to software engineering specifically: the volume and velocity of AI-generated code make traditional manual review near impossible, which in turn erodes the ability of teams to step in and execute a process by hand should a crisis emerge. Loss of oversight and loss of memory are described as one failure, not two — which is the argument of Part I and Part IV in a single sentence written by somebody else.</w:t>
      </w:r>
    </w:p>
    <w:p>
      <w:pPr>
        <w:spacing w:after="120"/>
      </w:pPr>
    </w:p>
    <w:tbl>
      <w:tblPr>
        <w:tblW w:type="dxa" w:w="10080"/>
        <w:tblBorders>
          <w:top w:val="single" w:color="D6D2C9" w:sz="4"/>
          <w:left w:val="single" w:color="33302B" w:sz="12"/>
          <w:bottom w:val="single" w:color="D6D2C9" w:sz="4"/>
          <w:right w:val="single" w:color="D6D2C9" w:sz="4"/>
          <w:insideH w:val="none"/>
          <w:insideV w:val="none"/>
        </w:tblBorders>
      </w:tblPr>
      <w:tblGrid>
        <w:gridCol w:w="10080"/>
      </w:tblGrid>
      <w:tr>
        <w:tc>
          <w:tcPr>
            <w:tcW w:type="dxa" w:w="10080"/>
            <w:shd w:fill="F4F2EE" w:color="auto" w:val="clear"/>
            <w:tcMar>
              <w:top w:type="dxa" w:w="120"/>
              <w:left w:type="dxa" w:w="160"/>
              <w:bottom w:type="dxa" w:w="120"/>
              <w:right w:type="dxa" w:w="160"/>
            </w:tcMar>
          </w:tcPr>
          <w:p>
            <w:pPr>
              <w:spacing w:after="0" w:line="264"/>
            </w:pPr>
            <w:r>
              <w:rPr>
                <w:b/>
                <w:bCs/>
                <w:color w:val="1B1A18"/>
                <w:sz w:val="20"/>
                <w:szCs w:val="20"/>
              </w:rPr>
              <w:t xml:space="preserve">Where this belongs. </w:t>
            </w:r>
            <w:r>
              <w:rPr>
                <w:color w:val="1B1A18"/>
                <w:sz w:val="20"/>
                <w:szCs w:val="20"/>
              </w:rPr>
              <w:t xml:space="preserve">The Chapter 4 property teaching at every level, and nowhere else. It is one slide: the property as derived, then the outside definition and the number, then the question — an international consortium named the property and measured the fear; what does the law add that the survey cannot? The answer is that the survey can only count concern, while the law tells you where the property must be held and what to demand as proof. That question is the best fifteen minutes in the properties session.</w:t>
            </w:r>
          </w:p>
        </w:tc>
      </w:tr>
    </w:tbl>
    <w:p>
      <w:pPr>
        <w:pStyle w:val="Heading1"/>
        <w:spacing w:after="140" w:before="320"/>
      </w:pPr>
      <w:r>
        <w:rPr>
          <w:b/>
          <w:bCs/>
          <w:color w:val="33302B"/>
          <w:sz w:val="29"/>
          <w:szCs w:val="29"/>
        </w:rPr>
        <w:t xml:space="preserve">5 · Figure register, by property and test</w:t>
      </w:r>
    </w:p>
    <w:p>
      <w:pPr>
        <w:spacing w:after="140" w:line="276"/>
      </w:pPr>
      <w:r>
        <w:rPr>
          <w:i/>
          <w:iCs/>
          <w:color w:val="6E6A62"/>
          <w:sz w:val="20"/>
          <w:szCs w:val="20"/>
        </w:rPr>
        <w:t xml:space="preserve">Each row: what the framework claims, what the report measured, and the figure with its cut. Read the figure aloud; do not put it on a permanent slide.</w:t>
      </w:r>
    </w:p>
    <w:p>
      <w:pPr>
        <w:spacing w:after="120"/>
      </w:pPr>
    </w:p>
    <w:tbl>
      <w:tblPr>
        <w:tblW w:type="dxa" w:w="10080"/>
        <w:tblBorders>
          <w:top w:val="single" w:color="D6D2C9" w:sz="4"/>
          <w:left w:val="single" w:color="D6D2C9" w:sz="4"/>
          <w:bottom w:val="single" w:color="D6D2C9" w:sz="4"/>
          <w:right w:val="single" w:color="D6D2C9" w:sz="4"/>
          <w:insideH w:val="single" w:color="D6D2C9" w:sz="4"/>
          <w:insideV w:val="single" w:color="D6D2C9" w:sz="4"/>
        </w:tblBorders>
      </w:tblPr>
      <w:tblGrid>
        <w:gridCol w:w="2400"/>
        <w:gridCol w:w="3640"/>
        <w:gridCol w:w="4040"/>
      </w:tblGrid>
      <w:tr>
        <w:trPr>
          <w:tblHeader/>
        </w:trPr>
        <w:tc>
          <w:tcPr>
            <w:tcW w:type="dxa" w:w="240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Framework element</w:t>
            </w:r>
          </w:p>
        </w:tc>
        <w:tc>
          <w:tcPr>
            <w:tcW w:type="dxa" w:w="364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What the report measured</w:t>
            </w:r>
          </w:p>
        </w:tc>
        <w:tc>
          <w:tcPr>
            <w:tcW w:type="dxa" w:w="404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Figure and cut</w:t>
            </w:r>
          </w:p>
        </w:tc>
      </w:tr>
      <w:tr>
        <w:tc>
          <w:tcPr>
            <w:tcW w:type="dxa" w:w="2400"/>
            <w:shd w:fill="FFFFFF" w:color="auto" w:val="clear"/>
            <w:tcMar>
              <w:top w:type="dxa" w:w="60"/>
              <w:left w:type="dxa" w:w="90"/>
              <w:bottom w:type="dxa" w:w="60"/>
              <w:right w:type="dxa" w:w="90"/>
            </w:tcMar>
          </w:tcPr>
          <w:p>
            <w:pPr>
              <w:spacing w:after="0" w:line="250"/>
            </w:pPr>
            <w:r>
              <w:rPr>
                <w:b/>
                <w:bCs/>
                <w:i w:val="false"/>
                <w:iCs w:val="false"/>
                <w:color w:val="33302B"/>
                <w:sz w:val="18"/>
                <w:szCs w:val="18"/>
              </w:rPr>
              <w:t xml:space="preserve">Institutional memory (Ch. 4)</w:t>
            </w:r>
          </w:p>
        </w:tc>
        <w:tc>
          <w:tcPr>
            <w:tcW w:type="dxa" w:w="364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Collective forgetting defined and ranked as a systemic risk</w:t>
            </w:r>
          </w:p>
        </w:tc>
        <w:tc>
          <w:tcPr>
            <w:tcW w:type="dxa" w:w="404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51% of all respondents (third highest risk); industry 55%, vendors 51%, regulators 42%, traditional FIs 60%</w:t>
            </w:r>
          </w:p>
        </w:tc>
      </w:tr>
      <w:tr>
        <w:tc>
          <w:tcPr>
            <w:tcW w:type="dxa" w:w="2400"/>
            <w:shd w:fill="FFFFFF" w:color="auto" w:val="clear"/>
            <w:tcMar>
              <w:top w:type="dxa" w:w="60"/>
              <w:left w:type="dxa" w:w="90"/>
              <w:bottom w:type="dxa" w:w="60"/>
              <w:right w:type="dxa" w:w="90"/>
            </w:tcMar>
          </w:tcPr>
          <w:p>
            <w:pPr>
              <w:spacing w:after="0" w:line="250"/>
            </w:pPr>
            <w:r>
              <w:rPr>
                <w:b/>
                <w:bCs/>
                <w:i w:val="false"/>
                <w:iCs w:val="false"/>
                <w:color w:val="33302B"/>
                <w:sz w:val="18"/>
                <w:szCs w:val="18"/>
              </w:rPr>
              <w:t xml:space="preserve">Accountability (Ch. 4, 18)</w:t>
            </w:r>
          </w:p>
        </w:tc>
        <w:tc>
          <w:tcPr>
            <w:tcW w:type="dxa" w:w="364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Where primary responsibility for AI-related harm sits — and the disagreement about it</w:t>
            </w:r>
          </w:p>
        </w:tc>
        <w:tc>
          <w:tcPr>
            <w:tcW w:type="dxa" w:w="404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Regulators place it on the regulated institution: 38%. Only 18% of industry and 16% of vendors agree. Case-by-case allocation preferred by 35% of industry and 39% of vendors, and by 29–39% across all groups. Shared accountability: vendors 24%, industry 22%, regulators 9%. (n: industry 334, vendors 134, regulators 130)</w:t>
            </w:r>
          </w:p>
        </w:tc>
      </w:tr>
      <w:tr>
        <w:tc>
          <w:tcPr>
            <w:tcW w:type="dxa" w:w="2400"/>
            <w:shd w:fill="FFFFFF" w:color="auto" w:val="clear"/>
            <w:tcMar>
              <w:top w:type="dxa" w:w="60"/>
              <w:left w:type="dxa" w:w="90"/>
              <w:bottom w:type="dxa" w:w="60"/>
              <w:right w:type="dxa" w:w="90"/>
            </w:tcMar>
          </w:tcPr>
          <w:p>
            <w:pPr>
              <w:spacing w:after="0" w:line="250"/>
            </w:pPr>
            <w:r>
              <w:rPr>
                <w:b/>
                <w:bCs/>
                <w:i w:val="false"/>
                <w:iCs w:val="false"/>
                <w:color w:val="33302B"/>
                <w:sz w:val="18"/>
                <w:szCs w:val="18"/>
              </w:rPr>
              <w:t xml:space="preserve">Audit primacy (Axiom 4)</w:t>
            </w:r>
          </w:p>
        </w:tc>
        <w:tc>
          <w:tcPr>
            <w:tcW w:type="dxa" w:w="364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explainability expectation gap, and whether anyone is monitoring</w:t>
            </w:r>
          </w:p>
        </w:tc>
        <w:tc>
          <w:tcPr>
            <w:tcW w:type="dxa" w:w="404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79% of regulators rate explainability critical or important; 50% of industry have adopted explainable AI methods; vendors perceive more than half of clients as having low or no expertise with explainability tools. About two-thirds of industry are not monitoring for bias, arbitrary discrimination, exclusion or systemic bias, and only 37% treat model opacity as an operational risk.</w:t>
            </w:r>
          </w:p>
        </w:tc>
      </w:tr>
      <w:tr>
        <w:tc>
          <w:tcPr>
            <w:tcW w:type="dxa" w:w="2400"/>
            <w:shd w:fill="FFFFFF" w:color="auto" w:val="clear"/>
            <w:tcMar>
              <w:top w:type="dxa" w:w="60"/>
              <w:left w:type="dxa" w:w="90"/>
              <w:bottom w:type="dxa" w:w="60"/>
              <w:right w:type="dxa" w:w="90"/>
            </w:tcMar>
          </w:tcPr>
          <w:p>
            <w:pPr>
              <w:spacing w:after="0" w:line="250"/>
            </w:pPr>
            <w:r>
              <w:rPr>
                <w:b/>
                <w:bCs/>
                <w:i w:val="false"/>
                <w:iCs w:val="false"/>
                <w:color w:val="33302B"/>
                <w:sz w:val="18"/>
                <w:szCs w:val="18"/>
              </w:rPr>
              <w:t xml:space="preserve">Sovereignty and the substitution test (Ch. 17, 22)</w:t>
            </w:r>
          </w:p>
        </w:tc>
        <w:tc>
          <w:tcPr>
            <w:tcW w:type="dxa" w:w="364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Concentration in model and infrastructure providers</w:t>
            </w:r>
          </w:p>
        </w:tc>
        <w:tc>
          <w:tcPr>
            <w:tcW w:type="dxa" w:w="404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OpenAI is the most-used foundation model provider: 76% of industry, 48% of regulators, 69% of all institutions answering that question (n=423 of 615). Google 57% of industry; Anthropic 35% of industry and 33% of vendors; DeepSeek 15% of industry. AWS leads industry at 46% and vendors at 55%; the top three cloud providers serve more than 80% of industry. Traditional FIs remain more reliant on on-premises or local cloud (39%) than fintechs (23%).</w:t>
            </w:r>
          </w:p>
        </w:tc>
      </w:tr>
      <w:tr>
        <w:tc>
          <w:tcPr>
            <w:tcW w:type="dxa" w:w="2400"/>
            <w:shd w:fill="FFFFFF" w:color="auto" w:val="clear"/>
            <w:tcMar>
              <w:top w:type="dxa" w:w="60"/>
              <w:left w:type="dxa" w:w="90"/>
              <w:bottom w:type="dxa" w:w="60"/>
              <w:right w:type="dxa" w:w="90"/>
            </w:tcMar>
          </w:tcPr>
          <w:p>
            <w:pPr>
              <w:spacing w:after="0" w:line="250"/>
            </w:pPr>
            <w:r>
              <w:rPr>
                <w:b/>
                <w:bCs/>
                <w:i w:val="false"/>
                <w:iCs w:val="false"/>
                <w:color w:val="33302B"/>
                <w:sz w:val="18"/>
                <w:szCs w:val="18"/>
              </w:rPr>
              <w:t xml:space="preserve">Concentration as systemic risk (Ch. 16–17, 20)</w:t>
            </w:r>
          </w:p>
        </w:tc>
        <w:tc>
          <w:tcPr>
            <w:tcW w:type="dxa" w:w="364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Who is worried about third-party dependency, and who is not</w:t>
            </w:r>
          </w:p>
        </w:tc>
        <w:tc>
          <w:tcPr>
            <w:tcW w:type="dxa" w:w="404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Critical third-party risk: regulators 43% against vendors 23%. Concentration: regulators 43% against industry 28%. The report’s own framing is that concentration in a small number of AI infrastructure providers generates dependencies cutting across firm types and geographies.</w:t>
            </w:r>
          </w:p>
        </w:tc>
      </w:tr>
      <w:tr>
        <w:tc>
          <w:tcPr>
            <w:tcW w:type="dxa" w:w="2400"/>
            <w:shd w:fill="FFFFFF" w:color="auto" w:val="clear"/>
            <w:tcMar>
              <w:top w:type="dxa" w:w="60"/>
              <w:left w:type="dxa" w:w="90"/>
              <w:bottom w:type="dxa" w:w="60"/>
              <w:right w:type="dxa" w:w="90"/>
            </w:tcMar>
          </w:tcPr>
          <w:p>
            <w:pPr>
              <w:spacing w:after="0" w:line="250"/>
            </w:pPr>
            <w:r>
              <w:rPr>
                <w:b/>
                <w:bCs/>
                <w:i w:val="false"/>
                <w:iCs w:val="false"/>
                <w:color w:val="33302B"/>
                <w:sz w:val="18"/>
                <w:szCs w:val="18"/>
              </w:rPr>
              <w:t xml:space="preserve">The meter and the ledger (Ch. 19, two-invoices test)</w:t>
            </w:r>
          </w:p>
        </w:tc>
        <w:tc>
          <w:tcPr>
            <w:tcW w:type="dxa" w:w="364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Whether firms can evidence the value of what they have deployed</w:t>
            </w:r>
          </w:p>
        </w:tc>
        <w:tc>
          <w:tcPr>
            <w:tcW w:type="dxa" w:w="404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55% of industry and 63% of regulators find it difficult to measure the value of AI deployment, rising to 76% among large financial institutions. 40% report increased profitability, 43% no change. 62% of organisations spending over USD 100,000 a year have reached advanced maturity, and 62% of those report increased profitability, against 39% of lower spenders.</w:t>
            </w:r>
          </w:p>
        </w:tc>
      </w:tr>
      <w:tr>
        <w:tc>
          <w:tcPr>
            <w:tcW w:type="dxa" w:w="2400"/>
            <w:shd w:fill="FFFFFF" w:color="auto" w:val="clear"/>
            <w:tcMar>
              <w:top w:type="dxa" w:w="60"/>
              <w:left w:type="dxa" w:w="90"/>
              <w:bottom w:type="dxa" w:w="60"/>
              <w:right w:type="dxa" w:w="90"/>
            </w:tcMar>
          </w:tcPr>
          <w:p>
            <w:pPr>
              <w:spacing w:after="0" w:line="250"/>
            </w:pPr>
            <w:r>
              <w:rPr>
                <w:b/>
                <w:bCs/>
                <w:i w:val="false"/>
                <w:iCs w:val="false"/>
                <w:color w:val="33302B"/>
                <w:sz w:val="18"/>
                <w:szCs w:val="18"/>
              </w:rPr>
              <w:t xml:space="preserve">Governance at volume (Ch. 18)</w:t>
            </w:r>
          </w:p>
        </w:tc>
        <w:tc>
          <w:tcPr>
            <w:tcW w:type="dxa" w:w="364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most mature use case is also the primary risk vector</w:t>
            </w:r>
          </w:p>
        </w:tc>
        <w:tc>
          <w:tcPr>
            <w:tcW w:type="dxa" w:w="404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Software engineering: 42% fully deployed, 33% in development — the industry’s most mature AI application, and the one where the report states manual review can no longer contain the volume. Adversarial AI flagged by 48% overall: industry 50%, regulators 57%, vendors 35%.</w:t>
            </w:r>
          </w:p>
        </w:tc>
      </w:tr>
      <w:tr>
        <w:tc>
          <w:tcPr>
            <w:tcW w:type="dxa" w:w="2400"/>
            <w:shd w:fill="FFFFFF" w:color="auto" w:val="clear"/>
            <w:tcMar>
              <w:top w:type="dxa" w:w="60"/>
              <w:left w:type="dxa" w:w="90"/>
              <w:bottom w:type="dxa" w:w="60"/>
              <w:right w:type="dxa" w:w="90"/>
            </w:tcMar>
          </w:tcPr>
          <w:p>
            <w:pPr>
              <w:spacing w:after="0" w:line="250"/>
            </w:pPr>
            <w:r>
              <w:rPr>
                <w:b/>
                <w:bCs/>
                <w:i w:val="false"/>
                <w:iCs w:val="false"/>
                <w:color w:val="33302B"/>
                <w:sz w:val="18"/>
                <w:szCs w:val="18"/>
              </w:rPr>
              <w:t xml:space="preserve">Execution coherence and context (Ch. 4, 12–15)</w:t>
            </w:r>
          </w:p>
        </w:tc>
        <w:tc>
          <w:tcPr>
            <w:tcW w:type="dxa" w:w="364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constraints that have not moved in six years</w:t>
            </w:r>
          </w:p>
        </w:tc>
        <w:tc>
          <w:tcPr>
            <w:tcW w:type="dxa" w:w="404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Data availability and quality remains the leading pain point: 66% of vendors, 46% of regulators, 40% of industry (traditional FIs 49%, fintechs 34%). Vendors report of their clients: 72% data quality and completeness, 46% legacy systems and siloed environments, 41% data-sharing restrictions. All were already the top barriers in the 2020 report.</w:t>
            </w:r>
          </w:p>
        </w:tc>
      </w:tr>
      <w:tr>
        <w:tc>
          <w:tcPr>
            <w:tcW w:type="dxa" w:w="2400"/>
            <w:shd w:fill="FFFFFF" w:color="auto" w:val="clear"/>
            <w:tcMar>
              <w:top w:type="dxa" w:w="60"/>
              <w:left w:type="dxa" w:w="90"/>
              <w:bottom w:type="dxa" w:w="60"/>
              <w:right w:type="dxa" w:w="90"/>
            </w:tcMar>
          </w:tcPr>
          <w:p>
            <w:pPr>
              <w:spacing w:after="0" w:line="250"/>
            </w:pPr>
            <w:r>
              <w:rPr>
                <w:b/>
                <w:bCs/>
                <w:i w:val="false"/>
                <w:iCs w:val="false"/>
                <w:color w:val="33302B"/>
                <w:sz w:val="18"/>
                <w:szCs w:val="18"/>
              </w:rPr>
              <w:t xml:space="preserve">Standards that bind (Ch. 5, 18; Part D of the Casebook)</w:t>
            </w:r>
          </w:p>
        </w:tc>
        <w:tc>
          <w:tcPr>
            <w:tcW w:type="dxa" w:w="364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Which external instruments supervisors and firms actually reference</w:t>
            </w:r>
          </w:p>
        </w:tc>
        <w:tc>
          <w:tcPr>
            <w:tcW w:type="dxa" w:w="404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EU AI Act 42%; financial sector-specific guidance from standard-setting bodies 41%; ISO/IEC AI standards, for example ISO 42001, 27%.</w:t>
            </w:r>
          </w:p>
        </w:tc>
      </w:tr>
      <w:tr>
        <w:tc>
          <w:tcPr>
            <w:tcW w:type="dxa" w:w="2400"/>
            <w:shd w:fill="FFFFFF" w:color="auto" w:val="clear"/>
            <w:tcMar>
              <w:top w:type="dxa" w:w="60"/>
              <w:left w:type="dxa" w:w="90"/>
              <w:bottom w:type="dxa" w:w="60"/>
              <w:right w:type="dxa" w:w="90"/>
            </w:tcMar>
          </w:tcPr>
          <w:p>
            <w:pPr>
              <w:spacing w:after="0" w:line="250"/>
            </w:pPr>
            <w:r>
              <w:rPr>
                <w:b/>
                <w:bCs/>
                <w:i w:val="false"/>
                <w:iCs w:val="false"/>
                <w:color w:val="33302B"/>
                <w:sz w:val="18"/>
                <w:szCs w:val="18"/>
              </w:rPr>
              <w:t xml:space="preserve">The case for the protocol (Ch. 22)</w:t>
            </w:r>
          </w:p>
        </w:tc>
        <w:tc>
          <w:tcPr>
            <w:tcW w:type="dxa" w:w="364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Self-reported maturity against what is being spent on it</w:t>
            </w:r>
          </w:p>
        </w:tc>
        <w:tc>
          <w:tcPr>
            <w:tcW w:type="dxa" w:w="404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53% of industry spend under USD 100,000 a year on AI yet report high maturity in GenAI and agentic AI. EMDE respondents report higher levels of deployment than firms in advanced economies.</w:t>
            </w:r>
          </w:p>
        </w:tc>
      </w:tr>
      <w:tr>
        <w:tc>
          <w:tcPr>
            <w:tcW w:type="dxa" w:w="2400"/>
            <w:shd w:fill="FFFFFF" w:color="auto" w:val="clear"/>
            <w:tcMar>
              <w:top w:type="dxa" w:w="60"/>
              <w:left w:type="dxa" w:w="90"/>
              <w:bottom w:type="dxa" w:w="60"/>
              <w:right w:type="dxa" w:w="90"/>
            </w:tcMar>
          </w:tcPr>
          <w:p>
            <w:pPr>
              <w:spacing w:after="0" w:line="250"/>
            </w:pPr>
            <w:r>
              <w:rPr>
                <w:b/>
                <w:bCs/>
                <w:i w:val="false"/>
                <w:iCs w:val="false"/>
                <w:color w:val="33302B"/>
                <w:sz w:val="18"/>
                <w:szCs w:val="18"/>
              </w:rPr>
              <w:t xml:space="preserve">Supervisory capacity (Regulators seminar, M1)</w:t>
            </w:r>
          </w:p>
        </w:tc>
        <w:tc>
          <w:tcPr>
            <w:tcW w:type="dxa" w:w="364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asymmetry between the supervised and the supervisor</w:t>
            </w:r>
          </w:p>
        </w:tc>
        <w:tc>
          <w:tcPr>
            <w:tcW w:type="dxa" w:w="404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Regulators at advanced adoption: 20%, against 40% of industry. 48% of regulators are still Exploring or not engaged with AI at all; 33% piloting, 18% scaling. 46% report using no cloud infrastructure at all; among those that do, Azure leads at 39%. Constraints cited: AI training and capacity building 48%, talent 47%, technology and infrastructure 45%. 78% expect AI to be significant or transformative for their objectives by 2030.</w:t>
            </w:r>
          </w:p>
        </w:tc>
      </w:tr>
      <w:tr>
        <w:tc>
          <w:tcPr>
            <w:tcW w:type="dxa" w:w="2400"/>
            <w:shd w:fill="FFFFFF" w:color="auto" w:val="clear"/>
            <w:tcMar>
              <w:top w:type="dxa" w:w="60"/>
              <w:left w:type="dxa" w:w="90"/>
              <w:bottom w:type="dxa" w:w="60"/>
              <w:right w:type="dxa" w:w="90"/>
            </w:tcMar>
          </w:tcPr>
          <w:p>
            <w:pPr>
              <w:spacing w:after="0" w:line="250"/>
            </w:pPr>
            <w:r>
              <w:rPr>
                <w:b/>
                <w:bCs/>
                <w:i w:val="false"/>
                <w:iCs w:val="false"/>
                <w:color w:val="33302B"/>
                <w:sz w:val="18"/>
                <w:szCs w:val="18"/>
              </w:rPr>
              <w:t xml:space="preserve">Demand for guidance (Ch. 18, 22–23)</w:t>
            </w:r>
          </w:p>
        </w:tc>
        <w:tc>
          <w:tcPr>
            <w:tcW w:type="dxa" w:w="364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Convergence on what is missing</w:t>
            </w:r>
          </w:p>
        </w:tc>
        <w:tc>
          <w:tcPr>
            <w:tcW w:type="dxa" w:w="404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Clearer regulatory guidance is a top priority for 79% of regulators, 69% of industry and 67% of vendors. Greater operational efficiency is the top expected benefit by 2030 for all three groups: industry 73%, vendors 66%, regulators 56%.</w:t>
            </w:r>
          </w:p>
        </w:tc>
      </w:tr>
    </w:tbl>
    <w:p>
      <w:pPr>
        <w:pStyle w:val="Heading1"/>
        <w:spacing w:after="140" w:before="320"/>
      </w:pPr>
      <w:r>
        <w:rPr>
          <w:b/>
          <w:bCs/>
          <w:color w:val="33302B"/>
          <w:sz w:val="29"/>
          <w:szCs w:val="29"/>
        </w:rPr>
        <w:t xml:space="preserve">6 · Insertion map, by offering</w:t>
      </w:r>
    </w:p>
    <w:p>
      <w:pPr>
        <w:spacing w:after="140" w:line="276"/>
      </w:pPr>
      <w:r>
        <w:rPr>
          <w:i/>
          <w:iCs/>
          <w:color w:val="6E6A62"/>
          <w:sz w:val="20"/>
          <w:szCs w:val="20"/>
        </w:rPr>
        <w:t xml:space="preserve">Where each figure earns its place. If a week is not named, it takes no figures — that is deliberate. The materials themselves remain unchanged.</w:t>
      </w:r>
    </w:p>
    <w:p>
      <w:pPr>
        <w:pStyle w:val="Heading2"/>
        <w:spacing w:after="100" w:before="240"/>
      </w:pPr>
      <w:r>
        <w:rPr>
          <w:b/>
          <w:bCs/>
          <w:color w:val="1B1A18"/>
          <w:sz w:val="23"/>
          <w:szCs w:val="23"/>
        </w:rPr>
        <w:t xml:space="preserve">BSc — Foundations of the Agentic Enterprise (14 weeks)</w:t>
      </w:r>
    </w:p>
    <w:p>
      <w:pPr>
        <w:pStyle w:val="ListParagraph"/>
        <w:numPr>
          <w:ilvl w:val="0"/>
          <w:numId w:val="2"/>
        </w:numPr>
        <w:spacing w:after="70" w:line="276"/>
      </w:pPr>
      <w:r>
        <w:rPr>
          <w:b/>
          <w:bCs/>
          <w:color w:val="1B1A18"/>
          <w:sz w:val="20"/>
          <w:szCs w:val="20"/>
        </w:rPr>
        <w:t xml:space="preserve">Wk 1–2, course framing. </w:t>
      </w:r>
      <w:r>
        <w:rPr>
          <w:color w:val="1B1A18"/>
          <w:sz w:val="20"/>
          <w:szCs w:val="20"/>
        </w:rPr>
        <w:t xml:space="preserve">The five slide-two figures from Section 3. First-year students need to know the subject is real before they will sit through the derivation.</w:t>
      </w:r>
    </w:p>
    <w:p>
      <w:pPr>
        <w:pStyle w:val="ListParagraph"/>
        <w:numPr>
          <w:ilvl w:val="0"/>
          <w:numId w:val="2"/>
        </w:numPr>
        <w:spacing w:after="70" w:line="276"/>
      </w:pPr>
      <w:r>
        <w:rPr>
          <w:b/>
          <w:bCs/>
          <w:color w:val="1B1A18"/>
          <w:sz w:val="20"/>
          <w:szCs w:val="20"/>
        </w:rPr>
        <w:t xml:space="preserve">Wk on the six properties (Ch. 4). </w:t>
      </w:r>
      <w:r>
        <w:rPr>
          <w:color w:val="1B1A18"/>
          <w:sz w:val="20"/>
          <w:szCs w:val="20"/>
        </w:rPr>
        <w:t xml:space="preserve">Collective forgetting: the definition and the 51% ranking. Present it as an outside body arriving at the sixth property from the other direction.</w:t>
      </w:r>
    </w:p>
    <w:p>
      <w:pPr>
        <w:pStyle w:val="ListParagraph"/>
        <w:numPr>
          <w:ilvl w:val="0"/>
          <w:numId w:val="2"/>
        </w:numPr>
        <w:spacing w:after="70" w:line="276"/>
      </w:pPr>
      <w:r>
        <w:rPr>
          <w:b/>
          <w:bCs/>
          <w:color w:val="1B1A18"/>
          <w:sz w:val="20"/>
          <w:szCs w:val="20"/>
        </w:rPr>
        <w:t xml:space="preserve">Wk 6, incident cards. </w:t>
      </w:r>
      <w:r>
        <w:rPr>
          <w:color w:val="1B1A18"/>
          <w:sz w:val="20"/>
          <w:szCs w:val="20"/>
        </w:rPr>
        <w:t xml:space="preserve">Use the data-quality and legacy-systems figures as background to the cards, not as a new card. The point is that the constraint is ordinary and long-standing, not exotic.</w:t>
      </w:r>
    </w:p>
    <w:p>
      <w:pPr>
        <w:pStyle w:val="ListParagraph"/>
        <w:numPr>
          <w:ilvl w:val="0"/>
          <w:numId w:val="2"/>
        </w:numPr>
        <w:spacing w:after="70" w:line="276"/>
      </w:pPr>
      <w:r>
        <w:rPr>
          <w:b/>
          <w:bCs/>
          <w:color w:val="1B1A18"/>
          <w:sz w:val="20"/>
          <w:szCs w:val="20"/>
        </w:rPr>
        <w:t xml:space="preserve">Exam and quiz bank. </w:t>
      </w:r>
      <w:r>
        <w:rPr>
          <w:color w:val="1B1A18"/>
          <w:sz w:val="20"/>
          <w:szCs w:val="20"/>
        </w:rPr>
        <w:t xml:space="preserve">One conceptual item is worth adding: distinguish adoption from maturity, and explain why a firm can report high maturity while spending under USD 100,000 a year. No figure-recall questions — they date the paper.</w:t>
      </w:r>
    </w:p>
    <w:p>
      <w:pPr>
        <w:pStyle w:val="Heading2"/>
        <w:spacing w:after="100" w:before="240"/>
      </w:pPr>
      <w:r>
        <w:rPr>
          <w:b/>
          <w:bCs/>
          <w:color w:val="1B1A18"/>
          <w:sz w:val="23"/>
          <w:szCs w:val="23"/>
        </w:rPr>
        <w:t xml:space="preserve">MSc — Custody Architecture for Agentic Enterprises (13 weeks)</w:t>
      </w:r>
    </w:p>
    <w:p>
      <w:pPr>
        <w:pStyle w:val="ListParagraph"/>
        <w:numPr>
          <w:ilvl w:val="0"/>
          <w:numId w:val="2"/>
        </w:numPr>
        <w:spacing w:after="70" w:line="276"/>
      </w:pPr>
      <w:r>
        <w:rPr>
          <w:b/>
          <w:bCs/>
          <w:color w:val="1B1A18"/>
          <w:sz w:val="20"/>
          <w:szCs w:val="20"/>
        </w:rPr>
        <w:t xml:space="preserve">Wk 2, derivation lab (the law and the six properties). </w:t>
      </w:r>
      <w:r>
        <w:rPr>
          <w:color w:val="1B1A18"/>
          <w:sz w:val="20"/>
          <w:szCs w:val="20"/>
        </w:rPr>
        <w:t xml:space="preserve">The collective-forgetting entry as a live derivation exercise: an international consortium named the property and measured concern about it, but produced no law, no location for the property, and no test. Ask the lab what the missing step costs a supervisor. This is the strongest available demonstration that naming a property is not the same as holding it.</w:t>
      </w:r>
    </w:p>
    <w:p>
      <w:pPr>
        <w:pStyle w:val="ListParagraph"/>
        <w:numPr>
          <w:ilvl w:val="0"/>
          <w:numId w:val="2"/>
        </w:numPr>
        <w:spacing w:after="70" w:line="276"/>
      </w:pPr>
      <w:r>
        <w:rPr>
          <w:b/>
          <w:bCs/>
          <w:color w:val="1B1A18"/>
          <w:sz w:val="20"/>
          <w:szCs w:val="20"/>
        </w:rPr>
        <w:t xml:space="preserve">Wk on the axioms (audit primacy). </w:t>
      </w:r>
      <w:r>
        <w:rPr>
          <w:color w:val="1B1A18"/>
          <w:sz w:val="20"/>
          <w:szCs w:val="20"/>
        </w:rPr>
        <w:t xml:space="preserve">The explainability gap — 79% against 50% — and the two-thirds not monitoring for bias. Evidence cannot be retrofitted, and the field is not currently generating it.</w:t>
      </w:r>
    </w:p>
    <w:p>
      <w:pPr>
        <w:pStyle w:val="ListParagraph"/>
        <w:numPr>
          <w:ilvl w:val="0"/>
          <w:numId w:val="2"/>
        </w:numPr>
        <w:spacing w:after="70" w:line="276"/>
      </w:pPr>
      <w:r>
        <w:rPr>
          <w:b/>
          <w:bCs/>
          <w:color w:val="1B1A18"/>
          <w:sz w:val="20"/>
          <w:szCs w:val="20"/>
        </w:rPr>
        <w:t xml:space="preserve">Wks on isolation and sovereignty (Ch. 16–17). </w:t>
      </w:r>
      <w:r>
        <w:rPr>
          <w:color w:val="1B1A18"/>
          <w:sz w:val="20"/>
          <w:szCs w:val="20"/>
        </w:rPr>
        <w:t xml:space="preserve">The full concentration set. The substitution test has a numerator now.</w:t>
      </w:r>
    </w:p>
    <w:p>
      <w:pPr>
        <w:pStyle w:val="ListParagraph"/>
        <w:numPr>
          <w:ilvl w:val="0"/>
          <w:numId w:val="2"/>
        </w:numPr>
        <w:spacing w:after="70" w:line="276"/>
      </w:pPr>
      <w:r>
        <w:rPr>
          <w:b/>
          <w:bCs/>
          <w:color w:val="1B1A18"/>
          <w:sz w:val="20"/>
          <w:szCs w:val="20"/>
        </w:rPr>
        <w:t xml:space="preserve">Problem sets. </w:t>
      </w:r>
      <w:r>
        <w:rPr>
          <w:color w:val="1B1A18"/>
          <w:sz w:val="20"/>
          <w:szCs w:val="20"/>
        </w:rPr>
        <w:t xml:space="preserve">One addition worth making: from the 53%-under-USD-100,000 finding, reason about where the custody work is not being done and what that implies for the reconstruction tax. It is a good analytical question precisely because the figure will not survive; the reasoning will.</w:t>
      </w:r>
    </w:p>
    <w:p>
      <w:pPr>
        <w:pStyle w:val="Heading2"/>
        <w:spacing w:after="100" w:before="240"/>
      </w:pPr>
      <w:r>
        <w:rPr>
          <w:b/>
          <w:bCs/>
          <w:color w:val="1B1A18"/>
          <w:sz w:val="23"/>
          <w:szCs w:val="23"/>
        </w:rPr>
        <w:t xml:space="preserve">MBA / Executive — Governing the Agentic Enterprise (12 sessions)</w:t>
      </w:r>
    </w:p>
    <w:p>
      <w:pPr>
        <w:pStyle w:val="ListParagraph"/>
        <w:numPr>
          <w:ilvl w:val="0"/>
          <w:numId w:val="2"/>
        </w:numPr>
        <w:spacing w:after="70" w:line="276"/>
      </w:pPr>
      <w:r>
        <w:rPr>
          <w:b/>
          <w:bCs/>
          <w:color w:val="1B1A18"/>
          <w:sz w:val="20"/>
          <w:szCs w:val="20"/>
        </w:rPr>
        <w:t xml:space="preserve">Session 1, the board-level problem. </w:t>
      </w:r>
      <w:r>
        <w:rPr>
          <w:color w:val="1B1A18"/>
          <w:sz w:val="20"/>
          <w:szCs w:val="20"/>
        </w:rPr>
        <w:t xml:space="preserve">Slide-two figures plus the 14% transformational finding. The execution gap is the board’s problem stated in the board’s language.</w:t>
      </w:r>
    </w:p>
    <w:p>
      <w:pPr>
        <w:pStyle w:val="ListParagraph"/>
        <w:numPr>
          <w:ilvl w:val="0"/>
          <w:numId w:val="2"/>
        </w:numPr>
        <w:spacing w:after="70" w:line="276"/>
      </w:pPr>
      <w:r>
        <w:rPr>
          <w:b/>
          <w:bCs/>
          <w:color w:val="1B1A18"/>
          <w:sz w:val="20"/>
          <w:szCs w:val="20"/>
        </w:rPr>
        <w:t xml:space="preserve">Session 2, properties as governance obligations. </w:t>
      </w:r>
      <w:r>
        <w:rPr>
          <w:color w:val="1B1A18"/>
          <w:sz w:val="20"/>
          <w:szCs w:val="20"/>
        </w:rPr>
        <w:t xml:space="preserve">Collective forgetting at 51%, third highest overall. Then the incoherence prompt: 44% of all respondents expect artificial general intelligence by 2030 — vendors 51%, industry 50%, regulators 28% — and 28% expect artificial superintelligence, yet all three groups ranked the emergence and impact of AGI 21st out of 22 surveyed risks, selected by 9%. Ask the room what a risk register looks like when the thing half of it expects within four years sits second from bottom. It is the best available illustration that a register is not a governance instrument.</w:t>
      </w:r>
    </w:p>
    <w:p>
      <w:pPr>
        <w:pStyle w:val="ListParagraph"/>
        <w:numPr>
          <w:ilvl w:val="0"/>
          <w:numId w:val="2"/>
        </w:numPr>
        <w:spacing w:after="70" w:line="276"/>
      </w:pPr>
      <w:r>
        <w:rPr>
          <w:b/>
          <w:bCs/>
          <w:color w:val="1B1A18"/>
          <w:sz w:val="20"/>
          <w:szCs w:val="20"/>
        </w:rPr>
        <w:t xml:space="preserve">Session 4, accountability and audit. </w:t>
      </w:r>
      <w:r>
        <w:rPr>
          <w:color w:val="1B1A18"/>
          <w:sz w:val="20"/>
          <w:szCs w:val="20"/>
        </w:rPr>
        <w:t xml:space="preserve">The accountability divergence in full. Regulators put primary responsibility on the institution at 38%; only 18% of industry agrees. That gap is not a difference of opinion — it is where the exposure sits unowned.</w:t>
      </w:r>
    </w:p>
    <w:p>
      <w:pPr>
        <w:pStyle w:val="ListParagraph"/>
        <w:numPr>
          <w:ilvl w:val="0"/>
          <w:numId w:val="2"/>
        </w:numPr>
        <w:spacing w:after="70" w:line="276"/>
      </w:pPr>
      <w:r>
        <w:rPr>
          <w:b/>
          <w:bCs/>
          <w:color w:val="1B1A18"/>
          <w:sz w:val="20"/>
          <w:szCs w:val="20"/>
        </w:rPr>
        <w:t xml:space="preserve">Session 5, sovereignty as structure. </w:t>
      </w:r>
      <w:r>
        <w:rPr>
          <w:color w:val="1B1A18"/>
          <w:sz w:val="20"/>
          <w:szCs w:val="20"/>
        </w:rPr>
        <w:t xml:space="preserve">OpenAI at 76% of industry, top three cloud providers serving more than 80%, critical third-party risk at 43% of regulators against 23% of vendors. Open the dependency census with these.</w:t>
      </w:r>
    </w:p>
    <w:p>
      <w:pPr>
        <w:pStyle w:val="ListParagraph"/>
        <w:numPr>
          <w:ilvl w:val="0"/>
          <w:numId w:val="2"/>
        </w:numPr>
        <w:spacing w:after="70" w:line="276"/>
      </w:pPr>
      <w:r>
        <w:rPr>
          <w:b/>
          <w:bCs/>
          <w:color w:val="1B1A18"/>
          <w:sz w:val="20"/>
          <w:szCs w:val="20"/>
        </w:rPr>
        <w:t xml:space="preserve">Session 7, governance that survives volume. </w:t>
      </w:r>
      <w:r>
        <w:rPr>
          <w:color w:val="1B1A18"/>
          <w:sz w:val="20"/>
          <w:szCs w:val="20"/>
        </w:rPr>
        <w:t xml:space="preserve">Software engineering at 42% fully deployed and the report’s statement that manual review can no longer contain the volume and velocity of generated code.</w:t>
      </w:r>
    </w:p>
    <w:p>
      <w:pPr>
        <w:pStyle w:val="ListParagraph"/>
        <w:numPr>
          <w:ilvl w:val="0"/>
          <w:numId w:val="2"/>
        </w:numPr>
        <w:spacing w:after="70" w:line="276"/>
      </w:pPr>
      <w:r>
        <w:rPr>
          <w:b/>
          <w:bCs/>
          <w:color w:val="1B1A18"/>
          <w:sz w:val="20"/>
          <w:szCs w:val="20"/>
        </w:rPr>
        <w:t xml:space="preserve">Session 8, the meter and the ledger. </w:t>
      </w:r>
      <w:r>
        <w:rPr>
          <w:color w:val="1B1A18"/>
          <w:sz w:val="20"/>
          <w:szCs w:val="20"/>
        </w:rPr>
        <w:t xml:space="preserve">55% of industry and 76% of large institutions cannot measure the value of what they have deployed. Pair it with the report’s own conclusion — that the measurement deficits which make AI value hard to capture may make AI risk equally hard to observe. That sentence is the two-invoices test’s reason for existing, written by a third party.</w:t>
      </w:r>
    </w:p>
    <w:p>
      <w:pPr>
        <w:pStyle w:val="ListParagraph"/>
        <w:numPr>
          <w:ilvl w:val="0"/>
          <w:numId w:val="2"/>
        </w:numPr>
        <w:spacing w:after="70" w:line="276"/>
      </w:pPr>
      <w:r>
        <w:rPr>
          <w:b/>
          <w:bCs/>
          <w:color w:val="1B1A18"/>
          <w:sz w:val="20"/>
          <w:szCs w:val="20"/>
        </w:rPr>
        <w:t xml:space="preserve">Session 11, nine questions for any vendor. </w:t>
      </w:r>
      <w:r>
        <w:rPr>
          <w:color w:val="1B1A18"/>
          <w:sz w:val="20"/>
          <w:szCs w:val="20"/>
        </w:rPr>
        <w:t xml:space="preserve">The self-reported maturity caveat from Section 7 below. The protocol exists because maturity claims are not evidence — including a firm’s claims about itself.</w:t>
      </w:r>
    </w:p>
    <w:p>
      <w:pPr>
        <w:pStyle w:val="Heading2"/>
        <w:spacing w:after="100" w:before="240"/>
      </w:pPr>
      <w:r>
        <w:rPr>
          <w:b/>
          <w:bCs/>
          <w:color w:val="1B1A18"/>
          <w:sz w:val="23"/>
          <w:szCs w:val="23"/>
        </w:rPr>
        <w:t xml:space="preserve">Professional Certificate — The Custody Architect (8 weeks)</w:t>
      </w:r>
    </w:p>
    <w:p>
      <w:pPr>
        <w:pStyle w:val="ListParagraph"/>
        <w:numPr>
          <w:ilvl w:val="0"/>
          <w:numId w:val="2"/>
        </w:numPr>
        <w:spacing w:after="70" w:line="276"/>
      </w:pPr>
      <w:r>
        <w:rPr>
          <w:b/>
          <w:bCs/>
          <w:color w:val="1B1A18"/>
          <w:sz w:val="20"/>
          <w:szCs w:val="20"/>
        </w:rPr>
        <w:t xml:space="preserve">Wk 1, the crossing as the unit. </w:t>
      </w:r>
      <w:r>
        <w:rPr>
          <w:color w:val="1B1A18"/>
          <w:sz w:val="20"/>
          <w:szCs w:val="20"/>
        </w:rPr>
        <w:t xml:space="preserve">Slide-two figures, briefly. This cohort is already deploying; they need the sector picture, not persuasion.</w:t>
      </w:r>
    </w:p>
    <w:p>
      <w:pPr>
        <w:pStyle w:val="ListParagraph"/>
        <w:numPr>
          <w:ilvl w:val="0"/>
          <w:numId w:val="2"/>
        </w:numPr>
        <w:spacing w:after="70" w:line="276"/>
      </w:pPr>
      <w:r>
        <w:rPr>
          <w:b/>
          <w:bCs/>
          <w:color w:val="1B1A18"/>
          <w:sz w:val="20"/>
          <w:szCs w:val="20"/>
        </w:rPr>
        <w:t xml:space="preserve">Wk 2, properties and their characteristic failures. </w:t>
      </w:r>
      <w:r>
        <w:rPr>
          <w:color w:val="1B1A18"/>
          <w:sz w:val="20"/>
          <w:szCs w:val="20"/>
        </w:rPr>
        <w:t xml:space="preserve">Collective forgetting, with the manual-execution capability framing — the report’s test of the failure is whether a team could still run the process by hand in a crisis. That is a diagnostic a practitioner can apply on Monday.</w:t>
      </w:r>
    </w:p>
    <w:p>
      <w:pPr>
        <w:pStyle w:val="ListParagraph"/>
        <w:numPr>
          <w:ilvl w:val="0"/>
          <w:numId w:val="2"/>
        </w:numPr>
        <w:spacing w:after="70" w:line="276"/>
      </w:pPr>
      <w:r>
        <w:rPr>
          <w:b/>
          <w:bCs/>
          <w:color w:val="1B1A18"/>
          <w:sz w:val="20"/>
          <w:szCs w:val="20"/>
        </w:rPr>
        <w:t xml:space="preserve">Wk 5, context and memory custody. </w:t>
      </w:r>
      <w:r>
        <w:rPr>
          <w:color w:val="1B1A18"/>
          <w:sz w:val="20"/>
          <w:szCs w:val="20"/>
        </w:rPr>
        <w:t xml:space="preserve">The same finding read as the reconstruction tax: memory loss and the loss of the ability to act are measured together.</w:t>
      </w:r>
    </w:p>
    <w:p>
      <w:pPr>
        <w:pStyle w:val="ListParagraph"/>
        <w:numPr>
          <w:ilvl w:val="0"/>
          <w:numId w:val="2"/>
        </w:numPr>
        <w:spacing w:after="70" w:line="276"/>
      </w:pPr>
      <w:r>
        <w:rPr>
          <w:b/>
          <w:bCs/>
          <w:color w:val="1B1A18"/>
          <w:sz w:val="20"/>
          <w:szCs w:val="20"/>
        </w:rPr>
        <w:t xml:space="preserve">Wk 6, sovereignty, isolation and cost. </w:t>
      </w:r>
      <w:r>
        <w:rPr>
          <w:color w:val="1B1A18"/>
          <w:sz w:val="20"/>
          <w:szCs w:val="20"/>
        </w:rPr>
        <w:t xml:space="preserve">Concentration figures for the dependency census; the value-measurement figures for the two-invoices test.</w:t>
      </w:r>
    </w:p>
    <w:p>
      <w:pPr>
        <w:pStyle w:val="ListParagraph"/>
        <w:numPr>
          <w:ilvl w:val="0"/>
          <w:numId w:val="2"/>
        </w:numPr>
        <w:spacing w:after="70" w:line="276"/>
      </w:pPr>
      <w:r>
        <w:rPr>
          <w:b/>
          <w:bCs/>
          <w:color w:val="1B1A18"/>
          <w:sz w:val="20"/>
          <w:szCs w:val="20"/>
        </w:rPr>
        <w:t xml:space="preserve">Wk 7, the protocol applied. </w:t>
      </w:r>
      <w:r>
        <w:rPr>
          <w:color w:val="1B1A18"/>
          <w:sz w:val="20"/>
          <w:szCs w:val="20"/>
        </w:rPr>
        <w:t xml:space="preserve">Open with the 53%-under-USD-100,000 finding. It is the cleanest available answer to “why run tests when the vendor has told us they are mature?”</w:t>
      </w:r>
    </w:p>
    <w:p>
      <w:pPr>
        <w:pStyle w:val="Heading2"/>
        <w:spacing w:after="100" w:before="240"/>
      </w:pPr>
      <w:r>
        <w:rPr>
          <w:b/>
          <w:bCs/>
          <w:color w:val="1B1A18"/>
          <w:sz w:val="23"/>
          <w:szCs w:val="23"/>
        </w:rPr>
        <w:t xml:space="preserve">Regulators seminar — Regulating the Agentic Enterprise (6 modules)</w:t>
      </w:r>
    </w:p>
    <w:p>
      <w:pPr>
        <w:pStyle w:val="ListParagraph"/>
        <w:numPr>
          <w:ilvl w:val="0"/>
          <w:numId w:val="2"/>
        </w:numPr>
        <w:spacing w:after="70" w:line="276"/>
      </w:pPr>
      <w:r>
        <w:rPr>
          <w:b/>
          <w:bCs/>
          <w:color w:val="1B1A18"/>
          <w:sz w:val="20"/>
          <w:szCs w:val="20"/>
        </w:rPr>
        <w:t xml:space="preserve">M1, the supervisor’s problem. </w:t>
      </w:r>
      <w:r>
        <w:rPr>
          <w:color w:val="1B1A18"/>
          <w:sz w:val="20"/>
          <w:szCs w:val="20"/>
        </w:rPr>
        <w:t xml:space="preserve">This module currently opens on failure statistics. Add the capacity asymmetry, which is more uncomfortable and more useful: 40% of industry at advanced adoption against 20% of regulators; 48% of regulators still exploring or not engaged; 46% using no cloud infrastructure at all; and training, talent and infrastructure all cited by 45–48% as constraints. A supervisor cannot examine what the supervisor cannot run. Handle it as the room’s own problem, not as criticism — 78% of the same respondents expect AI to be significant or transformative for their objectives by 2030.</w:t>
      </w:r>
    </w:p>
    <w:p>
      <w:pPr>
        <w:pStyle w:val="ListParagraph"/>
        <w:numPr>
          <w:ilvl w:val="0"/>
          <w:numId w:val="2"/>
        </w:numPr>
        <w:spacing w:after="70" w:line="276"/>
      </w:pPr>
      <w:r>
        <w:rPr>
          <w:b/>
          <w:bCs/>
          <w:color w:val="1B1A18"/>
          <w:sz w:val="20"/>
          <w:szCs w:val="20"/>
        </w:rPr>
        <w:t xml:space="preserve">M2, properties as supervisory requirements. </w:t>
      </w:r>
      <w:r>
        <w:rPr>
          <w:color w:val="1B1A18"/>
          <w:sz w:val="20"/>
          <w:szCs w:val="20"/>
        </w:rPr>
        <w:t xml:space="preserve">Collective forgetting, with the regulator cut stated plainly: 42% against 55% of industry and 60% of traditional institutions. The supervised are more worried about this property than the supervisors.</w:t>
      </w:r>
    </w:p>
    <w:p>
      <w:pPr>
        <w:pStyle w:val="ListParagraph"/>
        <w:numPr>
          <w:ilvl w:val="0"/>
          <w:numId w:val="2"/>
        </w:numPr>
        <w:spacing w:after="70" w:line="276"/>
      </w:pPr>
      <w:r>
        <w:rPr>
          <w:b/>
          <w:bCs/>
          <w:color w:val="1B1A18"/>
          <w:sz w:val="20"/>
          <w:szCs w:val="20"/>
        </w:rPr>
        <w:t xml:space="preserve">M3, writing standards that bind. </w:t>
      </w:r>
      <w:r>
        <w:rPr>
          <w:color w:val="1B1A18"/>
          <w:sz w:val="20"/>
          <w:szCs w:val="20"/>
        </w:rPr>
        <w:t xml:space="preserve">Name the three instruments participants actually reference — EU AI Act 42%, sector-specific guidance from standard-setting bodies 41%, ISO/IEC AI standards including ISO 42001 27% — then keep the property mapping in Part A of the Casebook generic beneath them. Naming the instruments buys credibility with this audience; binding the mapping to any one of them would date the seminar.</w:t>
      </w:r>
    </w:p>
    <w:p>
      <w:pPr>
        <w:pStyle w:val="ListParagraph"/>
        <w:numPr>
          <w:ilvl w:val="0"/>
          <w:numId w:val="2"/>
        </w:numPr>
        <w:spacing w:after="70" w:line="276"/>
      </w:pPr>
      <w:r>
        <w:rPr>
          <w:b/>
          <w:bCs/>
          <w:color w:val="1B1A18"/>
          <w:sz w:val="20"/>
          <w:szCs w:val="20"/>
        </w:rPr>
        <w:t xml:space="preserve">M4, evidence and the examination. </w:t>
      </w:r>
      <w:r>
        <w:rPr>
          <w:color w:val="1B1A18"/>
          <w:sz w:val="20"/>
          <w:szCs w:val="20"/>
        </w:rPr>
        <w:t xml:space="preserve">Two-thirds of industry not monitoring for bias; 79% of regulators calling explainability critical or important against 50% industry adoption of explainability methods; 63% of regulators finding AI value hard to measure. The last-month test is what closes that gap without new legislation.</w:t>
      </w:r>
    </w:p>
    <w:p>
      <w:pPr>
        <w:pStyle w:val="ListParagraph"/>
        <w:numPr>
          <w:ilvl w:val="0"/>
          <w:numId w:val="2"/>
        </w:numPr>
        <w:spacing w:after="70" w:line="276"/>
      </w:pPr>
      <w:r>
        <w:rPr>
          <w:b/>
          <w:bCs/>
          <w:color w:val="1B1A18"/>
          <w:sz w:val="20"/>
          <w:szCs w:val="20"/>
        </w:rPr>
        <w:t xml:space="preserve">M5, sovereignty, jurisdiction and systemic risk. </w:t>
      </w:r>
      <w:r>
        <w:rPr>
          <w:color w:val="1B1A18"/>
          <w:sz w:val="20"/>
          <w:szCs w:val="20"/>
        </w:rPr>
        <w:t xml:space="preserve">Concentration figures, and the 43%-against-23% divergence with vendors. Note also that EMDE respondents report higher deployment than advanced economies — relevant wherever the dependency census meets data residency.</w:t>
      </w:r>
    </w:p>
    <w:p>
      <w:pPr>
        <w:pStyle w:val="ListParagraph"/>
        <w:numPr>
          <w:ilvl w:val="0"/>
          <w:numId w:val="2"/>
        </w:numPr>
        <w:spacing w:after="70" w:line="276"/>
      </w:pPr>
      <w:r>
        <w:rPr>
          <w:b/>
          <w:bCs/>
          <w:color w:val="1B1A18"/>
          <w:sz w:val="20"/>
          <w:szCs w:val="20"/>
        </w:rPr>
        <w:t xml:space="preserve">M6, the examination protocol. </w:t>
      </w:r>
      <w:r>
        <w:rPr>
          <w:color w:val="1B1A18"/>
          <w:sz w:val="20"/>
          <w:szCs w:val="20"/>
        </w:rPr>
        <w:t xml:space="preserve">Clearer regulatory guidance is the top priority for 79% of regulators. The protocol is one way to supply it without waiting for a new regime.</w:t>
      </w:r>
    </w:p>
    <w:p>
      <w:pPr>
        <w:pStyle w:val="Heading2"/>
        <w:spacing w:after="100" w:before="240"/>
      </w:pPr>
      <w:r>
        <w:rPr>
          <w:b/>
          <w:bCs/>
          <w:color w:val="1B1A18"/>
          <w:sz w:val="23"/>
          <w:szCs w:val="23"/>
        </w:rPr>
        <w:t xml:space="preserve">Law course — Law of the Agentic Enterprise (13 weeks)</w:t>
      </w:r>
    </w:p>
    <w:p>
      <w:pPr>
        <w:pStyle w:val="ListParagraph"/>
        <w:numPr>
          <w:ilvl w:val="0"/>
          <w:numId w:val="2"/>
        </w:numPr>
        <w:spacing w:after="70" w:line="276"/>
      </w:pPr>
      <w:r>
        <w:rPr>
          <w:b/>
          <w:bCs/>
          <w:color w:val="1B1A18"/>
          <w:sz w:val="20"/>
          <w:szCs w:val="20"/>
        </w:rPr>
        <w:t xml:space="preserve">Wk 1, the problem and the legal frame. </w:t>
      </w:r>
      <w:r>
        <w:rPr>
          <w:color w:val="1B1A18"/>
          <w:sz w:val="20"/>
          <w:szCs w:val="20"/>
        </w:rPr>
        <w:t xml:space="preserve">Open on the accountability divergence. Regulators place primary responsibility on the regulated institution at 38%; industry at 18% and vendors at 16% do not expect it to land there. Students should see, in week one, that the allocation question is contested in the field and not settled by anybody’s terms of business.</w:t>
      </w:r>
    </w:p>
    <w:p>
      <w:pPr>
        <w:pStyle w:val="ListParagraph"/>
        <w:numPr>
          <w:ilvl w:val="0"/>
          <w:numId w:val="2"/>
        </w:numPr>
        <w:spacing w:after="70" w:line="276"/>
      </w:pPr>
      <w:r>
        <w:rPr>
          <w:b/>
          <w:bCs/>
          <w:color w:val="1B1A18"/>
          <w:sz w:val="20"/>
          <w:szCs w:val="20"/>
        </w:rPr>
        <w:t xml:space="preserve">Wk 4, liability and agency; Wk 6, contract and procurement. </w:t>
      </w:r>
      <w:r>
        <w:rPr>
          <w:color w:val="1B1A18"/>
          <w:sz w:val="20"/>
          <w:szCs w:val="20"/>
        </w:rPr>
        <w:t xml:space="preserve">Between 29% and 39% of every group prefers case-by-case allocation, which the report notes is typically defined contractually. Allocation is therefore being drafted, not legislated — which makes the procurement week the operative one. Note also the report’s observation that even where regulatory liability stays with the institution, firms may seek indirect recourse from vendors through product liability regimes or private contract.</w:t>
      </w:r>
    </w:p>
    <w:p>
      <w:pPr>
        <w:pStyle w:val="ListParagraph"/>
        <w:numPr>
          <w:ilvl w:val="0"/>
          <w:numId w:val="2"/>
        </w:numPr>
        <w:spacing w:after="70" w:line="276"/>
      </w:pPr>
      <w:r>
        <w:rPr>
          <w:b/>
          <w:bCs/>
          <w:color w:val="1B1A18"/>
          <w:sz w:val="20"/>
          <w:szCs w:val="20"/>
        </w:rPr>
        <w:t xml:space="preserve">Wk 7, data protection and privacy. </w:t>
      </w:r>
      <w:r>
        <w:rPr>
          <w:color w:val="1B1A18"/>
          <w:sz w:val="20"/>
          <w:szCs w:val="20"/>
        </w:rPr>
        <w:t xml:space="preserve">Data privacy and protection is the top risk across all three groups: 73% of all respondents, 80% of regulators, 74% of industry, 65% of vendors.</w:t>
      </w:r>
    </w:p>
    <w:p>
      <w:pPr>
        <w:pStyle w:val="ListParagraph"/>
        <w:numPr>
          <w:ilvl w:val="0"/>
          <w:numId w:val="2"/>
        </w:numPr>
        <w:spacing w:after="70" w:line="276"/>
      </w:pPr>
      <w:r>
        <w:rPr>
          <w:b/>
          <w:bCs/>
          <w:color w:val="1B1A18"/>
          <w:sz w:val="20"/>
          <w:szCs w:val="20"/>
        </w:rPr>
        <w:t xml:space="preserve">Wk 10, administrative law and rule-writing. </w:t>
      </w:r>
      <w:r>
        <w:rPr>
          <w:color w:val="1B1A18"/>
          <w:sz w:val="20"/>
          <w:szCs w:val="20"/>
        </w:rPr>
        <w:t xml:space="preserve">The three named instruments and their reference rates; the explainability gap as the drafting problem — a rule that requires explanation from a system nobody can interrogate is a rule that will not be enforced.</w:t>
      </w:r>
    </w:p>
    <w:p>
      <w:pPr>
        <w:pStyle w:val="ListParagraph"/>
        <w:numPr>
          <w:ilvl w:val="0"/>
          <w:numId w:val="2"/>
        </w:numPr>
        <w:spacing w:after="70" w:line="276"/>
      </w:pPr>
      <w:r>
        <w:rPr>
          <w:b/>
          <w:bCs/>
          <w:color w:val="1B1A18"/>
          <w:sz w:val="20"/>
          <w:szCs w:val="20"/>
        </w:rPr>
        <w:t xml:space="preserve">Wk 11, cross-border, sovereignty and systemic risk. </w:t>
      </w:r>
      <w:r>
        <w:rPr>
          <w:color w:val="1B1A18"/>
          <w:sz w:val="20"/>
          <w:szCs w:val="20"/>
        </w:rPr>
        <w:t xml:space="preserve">Concentration figures; adversarial AI at 50% of industry and 57% of regulators against 35% of vendors. The vendor perception gap is itself the systemic-risk argument.</w:t>
      </w:r>
    </w:p>
    <w:p>
      <w:pPr>
        <w:spacing w:after="120"/>
      </w:pPr>
    </w:p>
    <w:tbl>
      <w:tblPr>
        <w:tblW w:type="dxa" w:w="10080"/>
        <w:tblBorders>
          <w:top w:val="single" w:color="D6D2C9" w:sz="4"/>
          <w:left w:val="single" w:color="33302B" w:sz="12"/>
          <w:bottom w:val="single" w:color="D6D2C9" w:sz="4"/>
          <w:right w:val="single" w:color="D6D2C9" w:sz="4"/>
          <w:insideH w:val="none"/>
          <w:insideV w:val="none"/>
        </w:tblBorders>
      </w:tblPr>
      <w:tblGrid>
        <w:gridCol w:w="10080"/>
      </w:tblGrid>
      <w:tr>
        <w:tc>
          <w:tcPr>
            <w:tcW w:type="dxa" w:w="10080"/>
            <w:shd w:fill="F4F2EE" w:color="auto" w:val="clear"/>
            <w:tcMar>
              <w:top w:type="dxa" w:w="120"/>
              <w:left w:type="dxa" w:w="160"/>
              <w:bottom w:type="dxa" w:w="120"/>
              <w:right w:type="dxa" w:w="160"/>
            </w:tcMar>
          </w:tcPr>
          <w:p>
            <w:pPr>
              <w:spacing w:after="0" w:line="264"/>
            </w:pPr>
            <w:r>
              <w:rPr>
                <w:b/>
                <w:bCs/>
                <w:color w:val="1B1A18"/>
                <w:sz w:val="20"/>
                <w:szCs w:val="20"/>
              </w:rPr>
              <w:t xml:space="preserve">One dated footnote, handled carefully. </w:t>
            </w:r>
            <w:r>
              <w:rPr>
                <w:color w:val="1B1A18"/>
                <w:sz w:val="20"/>
                <w:szCs w:val="20"/>
              </w:rPr>
              <w:t xml:space="preserve">In its cyber discussion the report refers to Anthropic’s Mythos disclosures as pointing to an imminent future in which next-generation models are highly capable at exploiting software vulnerabilities. It is a legitimate citation and it belongs in the law course’s systemic-risk week and in the governance-at-volume session — but as a dated footnote attributed to the report, never as a structural claim. Capability disclosures move monthly. The framework’s claim does not depend on any of them.</w:t>
            </w:r>
          </w:p>
        </w:tc>
      </w:tr>
    </w:tbl>
    <w:p>
      <w:pPr>
        <w:pStyle w:val="Heading1"/>
        <w:spacing w:after="140" w:before="320"/>
      </w:pPr>
      <w:r>
        <w:rPr>
          <w:b/>
          <w:bCs/>
          <w:color w:val="33302B"/>
          <w:sz w:val="29"/>
          <w:szCs w:val="29"/>
        </w:rPr>
        <w:t xml:space="preserve">7 · Evidence discipline: cautions for instructors</w:t>
      </w:r>
    </w:p>
    <w:p>
      <w:pPr>
        <w:pStyle w:val="ListParagraph"/>
        <w:numPr>
          <w:ilvl w:val="0"/>
          <w:numId w:val="2"/>
        </w:numPr>
        <w:spacing w:after="70" w:line="276"/>
      </w:pPr>
      <w:r>
        <w:rPr>
          <w:b/>
          <w:bCs/>
          <w:color w:val="1B1A18"/>
          <w:sz w:val="20"/>
          <w:szCs w:val="20"/>
        </w:rPr>
        <w:t xml:space="preserve">The cuts differ, and the difference matters. </w:t>
      </w:r>
      <w:r>
        <w:rPr>
          <w:color w:val="1B1A18"/>
          <w:sz w:val="20"/>
          <w:szCs w:val="20"/>
        </w:rPr>
        <w:t xml:space="preserve">Collective forgetting appears as 51% of all respondents, 55% of industry, 51% of vendors, 42% of regulators, and 60% of traditional institutions. All five are correct. Citing 60% as “industry” is not. State the group; state the n where the report gives one. This is the same discipline the curriculum demands of students when they read a consequence record, and instructors are watched more closely than they think.</w:t>
      </w:r>
    </w:p>
    <w:p>
      <w:pPr>
        <w:pStyle w:val="ListParagraph"/>
        <w:numPr>
          <w:ilvl w:val="0"/>
          <w:numId w:val="2"/>
        </w:numPr>
        <w:spacing w:after="70" w:line="276"/>
      </w:pPr>
      <w:r>
        <w:rPr>
          <w:b/>
          <w:bCs/>
          <w:color w:val="1B1A18"/>
          <w:sz w:val="20"/>
          <w:szCs w:val="20"/>
        </w:rPr>
        <w:t xml:space="preserve">Self-reported maturity is not evidence of custody. </w:t>
      </w:r>
      <w:r>
        <w:rPr>
          <w:color w:val="1B1A18"/>
          <w:sz w:val="20"/>
          <w:szCs w:val="20"/>
        </w:rPr>
        <w:t xml:space="preserve">A survey can only record what respondents say about themselves. That 53% of industry spend under USD 100,000 a year while reporting high maturity in agentic AI is not an indictment of the respondents or of the survey — it is the clearest available demonstration of why a protocol that demands a demonstration exists. Teach it that way. Do not teach it as a swipe at the report whose credibility the syllabus is borrowing.</w:t>
      </w:r>
    </w:p>
    <w:p>
      <w:pPr>
        <w:pStyle w:val="ListParagraph"/>
        <w:numPr>
          <w:ilvl w:val="0"/>
          <w:numId w:val="2"/>
        </w:numPr>
        <w:spacing w:after="70" w:line="276"/>
      </w:pPr>
      <w:r>
        <w:rPr>
          <w:b/>
          <w:bCs/>
          <w:color w:val="1B1A18"/>
          <w:sz w:val="20"/>
          <w:szCs w:val="20"/>
        </w:rPr>
        <w:t xml:space="preserve">One sector, one moment. </w:t>
      </w:r>
      <w:r>
        <w:rPr>
          <w:color w:val="1B1A18"/>
          <w:sz w:val="20"/>
          <w:szCs w:val="20"/>
        </w:rPr>
        <w:t xml:space="preserve">Financial services, April 2026, self-reported, n varying by question. Nothing here licenses a claim about healthcare, public administration, or industry generally. Where a course is localised to another sector, these figures come out and the derivation carries the session alone — which it can.</w:t>
      </w:r>
    </w:p>
    <w:p>
      <w:pPr>
        <w:pStyle w:val="ListParagraph"/>
        <w:numPr>
          <w:ilvl w:val="0"/>
          <w:numId w:val="2"/>
        </w:numPr>
        <w:spacing w:after="70" w:line="276"/>
      </w:pPr>
      <w:r>
        <w:rPr>
          <w:b/>
          <w:bCs/>
          <w:color w:val="1B1A18"/>
          <w:sz w:val="20"/>
          <w:szCs w:val="20"/>
        </w:rPr>
        <w:t xml:space="preserve">The structural findings will outlive the percentages. </w:t>
      </w:r>
      <w:r>
        <w:rPr>
          <w:color w:val="1B1A18"/>
          <w:sz w:val="20"/>
          <w:szCs w:val="20"/>
        </w:rPr>
        <w:t xml:space="preserve">Concentration in a few providers, a measurement deficit that hides both value and risk, and a three-way disagreement about where accountability lands: these are the findings to teach. The numbers attached to them are this year’s.</w:t>
      </w:r>
    </w:p>
    <w:p>
      <w:pPr>
        <w:pStyle w:val="ListParagraph"/>
        <w:numPr>
          <w:ilvl w:val="0"/>
          <w:numId w:val="2"/>
        </w:numPr>
        <w:spacing w:after="70" w:line="276"/>
      </w:pPr>
      <w:r>
        <w:rPr>
          <w:b/>
          <w:bCs/>
          <w:color w:val="1B1A18"/>
          <w:sz w:val="20"/>
          <w:szCs w:val="20"/>
        </w:rPr>
        <w:t xml:space="preserve">Do not let the survey become the syllabus. </w:t>
      </w:r>
      <w:r>
        <w:rPr>
          <w:color w:val="1B1A18"/>
          <w:sz w:val="20"/>
          <w:szCs w:val="20"/>
        </w:rPr>
        <w:t xml:space="preserve">The temptation with a citation this strong is to lead with it. The curriculum’s claim is a derivation from a stated law, and a derivation that needs a survey to stand up was never a derivation. The figures open a session and close an objection. They do not carry an argument.</w:t>
      </w:r>
    </w:p>
    <w:p>
      <w:pPr>
        <w:pStyle w:val="Heading1"/>
        <w:spacing w:after="140" w:before="320"/>
      </w:pPr>
      <w:r>
        <w:rPr>
          <w:b/>
          <w:bCs/>
          <w:color w:val="33302B"/>
          <w:sz w:val="29"/>
          <w:szCs w:val="29"/>
        </w:rPr>
        <w:t xml:space="preserve">8 · Update discipline</w:t>
      </w:r>
    </w:p>
    <w:p>
      <w:pPr>
        <w:spacing w:after="120" w:before="0" w:line="276"/>
      </w:pPr>
      <w:r>
        <w:rPr>
          <w:color w:val="1B1A18"/>
          <w:sz w:val="20"/>
          <w:szCs w:val="20"/>
        </w:rPr>
        <w:t xml:space="preserve">The CCAF survey series is periodic and the 2026 edition builds on a 2020 predecessor, so the next edition should be expected rather than hoped for. When it lands:</w:t>
      </w:r>
    </w:p>
    <w:p>
      <w:pPr>
        <w:pStyle w:val="ListParagraph"/>
        <w:numPr>
          <w:ilvl w:val="0"/>
          <w:numId w:val="2"/>
        </w:numPr>
        <w:spacing w:after="70" w:line="276"/>
      </w:pPr>
      <w:r>
        <w:rPr>
          <w:color w:val="1B1A18"/>
          <w:sz w:val="20"/>
          <w:szCs w:val="20"/>
        </w:rPr>
        <w:t xml:space="preserve">Reissue this file at v2.0 with the figures replaced and the cuts restated. Keep the section structure so the insertion map stays stable.</w:t>
      </w:r>
    </w:p>
    <w:p>
      <w:pPr>
        <w:pStyle w:val="ListParagraph"/>
        <w:numPr>
          <w:ilvl w:val="0"/>
          <w:numId w:val="2"/>
        </w:numPr>
        <w:spacing w:after="70" w:line="276"/>
      </w:pPr>
      <w:r>
        <w:rPr>
          <w:color w:val="1B1A18"/>
          <w:sz w:val="20"/>
          <w:szCs w:val="20"/>
        </w:rPr>
        <w:t xml:space="preserve">Check whether collective forgetting survives as a defined term and whether its ranking moves. A rise strengthens Section 4; a fall is more interesting still, and worth a session of its own on whether the concern was addressed or merely normalised.</w:t>
      </w:r>
    </w:p>
    <w:p>
      <w:pPr>
        <w:pStyle w:val="ListParagraph"/>
        <w:numPr>
          <w:ilvl w:val="0"/>
          <w:numId w:val="2"/>
        </w:numPr>
        <w:spacing w:after="70" w:line="276"/>
      </w:pPr>
      <w:r>
        <w:rPr>
          <w:color w:val="1B1A18"/>
          <w:sz w:val="20"/>
          <w:szCs w:val="20"/>
        </w:rPr>
        <w:t xml:space="preserve">Confirm the standards reference rates in Section 5 before running the regulators seminar. Those three figures will move fastest.</w:t>
      </w:r>
    </w:p>
    <w:p>
      <w:pPr>
        <w:pStyle w:val="ListParagraph"/>
        <w:numPr>
          <w:ilvl w:val="0"/>
          <w:numId w:val="2"/>
        </w:numPr>
        <w:spacing w:after="70" w:line="276"/>
      </w:pPr>
      <w:r>
        <w:rPr>
          <w:color w:val="1B1A18"/>
          <w:sz w:val="20"/>
          <w:szCs w:val="20"/>
        </w:rPr>
        <w:t xml:space="preserve">Change nothing else. The syllabi name this file, not its contents; the slides and casebooks carry no figures at all. That is the point of the arrangement.</w:t>
      </w:r>
    </w:p>
    <w:p>
      <w:pPr>
        <w:spacing w:after="160"/>
      </w:pPr>
    </w:p>
    <w:tbl>
      <w:tblPr>
        <w:tblW w:type="dxa" w:w="10080"/>
        <w:tblBorders>
          <w:top w:val="single" w:color="D6D2C9" w:sz="4"/>
          <w:left w:val="single" w:color="33302B" w:sz="12"/>
          <w:bottom w:val="single" w:color="D6D2C9" w:sz="4"/>
          <w:right w:val="single" w:color="D6D2C9" w:sz="4"/>
          <w:insideH w:val="none"/>
          <w:insideV w:val="none"/>
        </w:tblBorders>
      </w:tblPr>
      <w:tblGrid>
        <w:gridCol w:w="10080"/>
      </w:tblGrid>
      <w:tr>
        <w:tc>
          <w:tcPr>
            <w:tcW w:type="dxa" w:w="10080"/>
            <w:shd w:fill="F4F2EE" w:color="auto" w:val="clear"/>
            <w:tcMar>
              <w:top w:type="dxa" w:w="120"/>
              <w:left w:type="dxa" w:w="160"/>
              <w:bottom w:type="dxa" w:w="120"/>
              <w:right w:type="dxa" w:w="160"/>
            </w:tcMar>
          </w:tcPr>
          <w:p>
            <w:pPr>
              <w:spacing w:after="0" w:line="264"/>
            </w:pPr>
            <w:r>
              <w:rPr>
                <w:b/>
                <w:bCs/>
                <w:color w:val="1B1A18"/>
                <w:sz w:val="20"/>
                <w:szCs w:val="20"/>
              </w:rPr>
              <w:t xml:space="preserve">Held in one file, on purpose. </w:t>
            </w:r>
            <w:r>
              <w:rPr>
                <w:color w:val="1B1A18"/>
                <w:sz w:val="20"/>
                <w:szCs w:val="20"/>
              </w:rPr>
              <w:t xml:space="preserve">A curriculum that scatters dated figures across forty documents has to be re-audited every time the world moves. This one has a single seam, and everything that crosses it is named here. The arrangement is the argument, applied to the bundle itself.</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color w:val="6E6A62"/>
        <w:sz w:val="16"/>
        <w:szCs w:val="16"/>
      </w:rPr>
      <w:t xml:space="preserve">Based on </w:t>
    </w:r>
    <w:r>
      <w:rPr>
        <w:i/>
        <w:iCs/>
        <w:color w:val="6E6A62"/>
        <w:sz w:val="16"/>
        <w:szCs w:val="16"/>
      </w:rPr>
      <w:t xml:space="preserve">What the Structure Does Not Carry</w:t>
    </w:r>
    <w:r>
      <w:rPr>
        <w:color w:val="6E6A62"/>
        <w:sz w:val="16"/>
        <w:szCs w:val="16"/>
      </w:rPr>
      <w:t xml:space="preserve"> by Georg Zangl  •  v1.0 (April 2026 figures)  •  Page </w:t>
    </w:r>
    <w:r>
      <w:rPr>
        <w:color w:val="6E6A6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6E6A62"/>
        <w:sz w:val="16"/>
        <w:szCs w:val="16"/>
      </w:rPr>
      <w:t xml:space="preserve">Evidence Base — External Corroboration and Teaching Figures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B1A18"/>
        <w:sz w:val="20"/>
        <w:szCs w:val="20"/>
      </w:rPr>
    </w:rPrDefault>
    <w:pPrDefault/>
  </w:docDefaults>
  <w:style w:type="paragraph" w:styleId="Title">
    <w:name w:val="Title"/>
    <w:basedOn w:val="Normal"/>
    <w:next w:val="Normal"/>
    <w:qFormat/>
    <w:rPr>
      <w:sz w:val="55"/>
      <w:szCs w:val="55"/>
    </w:rPr>
  </w:style>
  <w:style w:type="paragraph" w:styleId="Heading1">
    <w:name w:val="Heading 1"/>
    <w:basedOn w:val="Normal"/>
    <w:next w:val="Normal"/>
    <w:qFormat/>
    <w:rPr>
      <w:color w:val="33302B"/>
      <w:sz w:val="31"/>
      <w:szCs w:val="31"/>
    </w:rPr>
  </w:style>
  <w:style w:type="paragraph" w:styleId="Heading2">
    <w:name w:val="Heading 2"/>
    <w:basedOn w:val="Normal"/>
    <w:next w:val="Normal"/>
    <w:qFormat/>
    <w:rPr>
      <w:color w:val="33302B"/>
      <w:sz w:val="25"/>
      <w:szCs w:val="25"/>
    </w:rPr>
  </w:style>
  <w:style w:type="paragraph" w:styleId="Heading3">
    <w:name w:val="Heading 3"/>
    <w:basedOn w:val="Normal"/>
    <w:next w:val="Normal"/>
    <w:qFormat/>
    <w:rPr>
      <w:color w:val="33302B"/>
      <w:sz w:val="23"/>
      <w:szCs w:val="23"/>
    </w:rPr>
  </w:style>
  <w:style w:type="paragraph" w:styleId="Heading4">
    <w:name w:val="Heading 4"/>
    <w:basedOn w:val="Normal"/>
    <w:next w:val="Normal"/>
    <w:qFormat/>
    <w:rPr>
      <w:i/>
      <w:iCs/>
      <w:color w:val="33302B"/>
    </w:rPr>
  </w:style>
  <w:style w:type="paragraph" w:styleId="Heading5">
    <w:name w:val="Heading 5"/>
    <w:basedOn w:val="Normal"/>
    <w:next w:val="Normal"/>
    <w:qFormat/>
    <w:rPr>
      <w:color w:val="33302B"/>
    </w:rPr>
  </w:style>
  <w:style w:type="paragraph" w:styleId="Heading6">
    <w:name w:val="Heading 6"/>
    <w:basedOn w:val="Normal"/>
    <w:next w:val="Normal"/>
    <w:qFormat/>
    <w:rPr>
      <w:color w:val="33302B"/>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57534A"/>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19"/>
      <w:szCs w:val="19"/>
    </w:rPr>
  </w:style>
  <w:style w:type="character" w:styleId="FootnoteTextChar">
    <w:name w:val="Footnote Text Char"/>
    <w:basedOn w:val="DefaultParagraphFont"/>
    <w:link w:val="FootnoteText"/>
    <w:uiPriority w:val="99"/>
    <w:semiHidden/>
    <w:unhideWhenUsed/>
    <w:rPr>
      <w:sz w:val="19"/>
      <w:szCs w:val="19"/>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19"/>
      <w:szCs w:val="19"/>
    </w:rPr>
  </w:style>
  <w:style w:type="character" w:styleId="EndnoteTextChar">
    <w:name w:val="Endnote Text Char"/>
    <w:basedOn w:val="DefaultParagraphFont"/>
    <w:link w:val="EndnoteText"/>
    <w:uiPriority w:val="99"/>
    <w:semiHidden/>
    <w:unhideWhenUsed/>
    <w:rPr>
      <w:sz w:val="19"/>
      <w:szCs w:val="19"/>
    </w:rPr>
  </w:style>
  <w:style w:type="paragraph" w:styleId="Heading1">
    <w:name w:val="Heading 1"/>
    <w:basedOn w:val="Normal"/>
    <w:next w:val="Normal"/>
    <w:qFormat/>
    <w:rPr>
      <w:rFonts w:ascii="Georgia" w:cs="Georgia" w:eastAsia="Georgia" w:hAnsi="Georgia"/>
      <w:b/>
      <w:bCs/>
      <w:color w:val="33302B"/>
      <w:sz w:val="29"/>
      <w:szCs w:val="29"/>
    </w:rPr>
  </w:style>
  <w:style w:type="paragraph" w:styleId="Heading2">
    <w:name w:val="Heading 2"/>
    <w:basedOn w:val="Normal"/>
    <w:next w:val="Normal"/>
    <w:qFormat/>
    <w:rPr>
      <w:rFonts w:ascii="Georgia" w:cs="Georgia" w:eastAsia="Georgia" w:hAnsi="Georgia"/>
      <w:b/>
      <w:bCs/>
      <w:color w:val="1B1A1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2026-08-17T14:33:31.475Z</dcterms:created>
  <dcterms:modified xsi:type="dcterms:W3CDTF">2026-08-17T14:33:31.496Z</dcterms:modified>
</cp:coreProperties>
</file>

<file path=docProps/custom.xml><?xml version="1.0" encoding="utf-8"?>
<Properties xmlns="http://schemas.openxmlformats.org/officeDocument/2006/custom-properties" xmlns:vt="http://schemas.openxmlformats.org/officeDocument/2006/docPropsVTypes"/>
</file>