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Practice guidance · for dedicated AI and technology counsel</w:t>
      </w:r>
    </w:p>
    <w:p>
      <w:pPr>
        <w:spacing w:after="60"/>
        <w:jc w:val="center"/>
      </w:pPr>
      <w:r>
        <w:rPr>
          <w:b/>
          <w:bCs/>
          <w:color w:val="1B1A18"/>
          <w:sz w:val="38"/>
          <w:szCs w:val="38"/>
        </w:rPr>
        <w:t xml:space="preserve">Using the Framework in an AI Governance Function</w:t>
      </w:r>
    </w:p>
    <w:p>
      <w:pPr>
        <w:spacing w:after="150"/>
        <w:jc w:val="center"/>
      </w:pPr>
      <w:r>
        <w:rPr>
          <w:i/>
          <w:iCs/>
          <w:color w:val="6E6A62"/>
          <w:sz w:val="23"/>
          <w:szCs w:val="23"/>
        </w:rPr>
        <w:t xml:space="preserve">What to require, whether it can be satisfied, and what evidence will exist</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 xml:space="preserve">MZ-LAW-001 v1.0 · 17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advice. </w:t>
            </w:r>
            <w:r>
              <w:rPr>
                <w:color w:val="1B1A18"/>
                <w:sz w:val="20"/>
                <w:szCs w:val="20"/>
              </w:rPr>
              <w:t xml:space="preserve">This is practice-support material written by an engineer, not a lawyer. It does not state the law of any jurisdiction, and every article, instrument, and retention period named here must be checked against the text in force where you practise. Its purpose is to supply mechanism — how systems fail at boundaries, and what evidence exists when they do — so that you can attach your own doctrine to it. Where it appears to make a legal claim, treat that as a drafting error and rely on your own analysis.</w:t>
            </w:r>
          </w:p>
          <w:p>
            <w:pPr>
              <w:spacing w:after="0" w:line="264"/>
            </w:pPr>
            <w:r>
              <w:rPr>
                <w:b/>
                <w:bCs/>
                <w:color w:val="1B1A18"/>
                <w:sz w:val="20"/>
                <w:szCs w:val="20"/>
              </w:rPr>
              <w:t xml:space="preserve">Declaration of interest. </w:t>
            </w:r>
            <w:r>
              <w:rPr>
                <w:color w:val="1B1A18"/>
                <w:sz w:val="20"/>
                <w:szCs w:val="20"/>
              </w:rPr>
              <w:t xml:space="preserve">The author writes about, and builds, infrastructure of the kind this material argues for. The instruments below are derived from stated requirements rather than calibrated to any product, and are meant to be run against the author’s own systems first. Every coined term is unencumbered: not trademarked, not licensed, free to adopt, rename, or discard.</w:t>
            </w:r>
          </w:p>
        </w:tc>
      </w:tr>
    </w:tbl>
    <w:p>
      <w:pPr>
        <w:pStyle w:val="Heading1"/>
        <w:spacing w:after="130" w:before="300"/>
      </w:pPr>
      <w:r>
        <w:rPr>
          <w:b/>
          <w:bCs/>
          <w:color w:val="33302B"/>
          <w:sz w:val="29"/>
          <w:szCs w:val="29"/>
        </w:rPr>
        <w:t xml:space="preserve">1 · The problem this solves for you</w:t>
      </w:r>
    </w:p>
    <w:p>
      <w:pPr>
        <w:spacing w:after="120" w:before="0" w:line="276"/>
      </w:pPr>
      <w:r>
        <w:rPr>
          <w:b w:val="false"/>
          <w:bCs w:val="false"/>
          <w:i w:val="false"/>
          <w:iCs w:val="false"/>
          <w:color w:val="1B1A18"/>
          <w:sz w:val="20"/>
          <w:szCs w:val="20"/>
        </w:rPr>
        <w:t xml:space="preserve">You are not short of frameworks. You have the AI Act, probably ISO/IEC 42001 or the NIST AI Risk Management Framework, a policy you have written or inherited, a register, an intake process, and a set of controls. What you are short of is the answer to two questions that arrive at every approval meeting.</w:t>
      </w:r>
    </w:p>
    <w:p>
      <w:pPr>
        <w:spacing w:after="120" w:before="0" w:line="276"/>
      </w:pPr>
      <w:r>
        <w:rPr>
          <w:b w:val="false"/>
          <w:bCs w:val="false"/>
          <w:i w:val="false"/>
          <w:iCs w:val="false"/>
          <w:color w:val="1B1A18"/>
          <w:sz w:val="20"/>
          <w:szCs w:val="20"/>
        </w:rPr>
        <w:t xml:space="preserve">Can this control actually be implemented as written? And if it is, what evidence will exist afterwards?</w:t>
      </w:r>
    </w:p>
    <w:p>
      <w:pPr>
        <w:spacing w:after="120" w:before="0" w:line="276"/>
      </w:pPr>
      <w:r>
        <w:rPr>
          <w:b w:val="false"/>
          <w:bCs w:val="false"/>
          <w:i w:val="false"/>
          <w:iCs w:val="false"/>
          <w:color w:val="1B1A18"/>
          <w:sz w:val="20"/>
          <w:szCs w:val="20"/>
        </w:rPr>
        <w:t xml:space="preserve">Nobody in the governance function can answer those, and the engineers who can answer them are answering a different question — whether it can be built, not whether it can be evidenced. The result is a control library that reads well and cannot be tested, which is the specific failure this material addresses.</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framing to hold onto. </w:t>
            </w:r>
            <w:r>
              <w:rPr>
                <w:color w:val="1B1A18"/>
                <w:sz w:val="20"/>
                <w:szCs w:val="20"/>
              </w:rPr>
              <w:t xml:space="preserve">The six properties are not another framework to adopt alongside the one you have. They are the layer underneath it. Your framework tells you what to require; the properties tell you where each requirement must be held, and what its absence looks like in operation. If you find yourself replacing ISO 42001 controls with properties, something has gone wrong.</w:t>
            </w:r>
          </w:p>
        </w:tc>
      </w:tr>
    </w:tbl>
    <w:p>
      <w:pPr>
        <w:pStyle w:val="Heading1"/>
        <w:spacing w:after="130" w:before="300"/>
      </w:pPr>
      <w:r>
        <w:rPr>
          <w:b/>
          <w:bCs/>
          <w:color w:val="33302B"/>
          <w:sz w:val="29"/>
          <w:szCs w:val="29"/>
        </w:rPr>
        <w:t xml:space="preserve">2 · The one idea that matters most in your role</w:t>
      </w:r>
    </w:p>
    <w:p>
      <w:pPr>
        <w:spacing w:after="120" w:before="0" w:line="276"/>
      </w:pPr>
      <w:r>
        <w:rPr>
          <w:b w:val="false"/>
          <w:bCs w:val="false"/>
          <w:i w:val="false"/>
          <w:iCs w:val="false"/>
          <w:color w:val="1B1A18"/>
          <w:sz w:val="20"/>
          <w:szCs w:val="20"/>
        </w:rPr>
        <w:t xml:space="preserve">A rule that admits no exception cannot be enforced by a probabilistic component.</w:t>
      </w:r>
    </w:p>
    <w:p>
      <w:pPr>
        <w:spacing w:after="120" w:before="0" w:line="276"/>
      </w:pPr>
      <w:r>
        <w:rPr>
          <w:b w:val="false"/>
          <w:bCs w:val="false"/>
          <w:i w:val="false"/>
          <w:iCs w:val="false"/>
          <w:color w:val="1B1A18"/>
          <w:sz w:val="20"/>
          <w:szCs w:val="20"/>
        </w:rPr>
        <w:t xml:space="preserve">This sounds obvious stated plainly and is violated constantly in practice. Your policy says the system must never transmit personal data outside the approved region, must never approve above a threshold without second authorisation, must never act on an instruction from an unverified source. Those are modal requirements — must, never — and modality admits no rate. A model instructed not to do something does it less often. Less often is not never.</w:t>
      </w:r>
    </w:p>
    <w:p>
      <w:pPr>
        <w:spacing w:after="120" w:before="0" w:line="276"/>
      </w:pPr>
      <w:r>
        <w:rPr>
          <w:b w:val="false"/>
          <w:bCs w:val="false"/>
          <w:i w:val="false"/>
          <w:iCs w:val="false"/>
          <w:color w:val="1B1A18"/>
          <w:sz w:val="20"/>
          <w:szCs w:val="20"/>
        </w:rPr>
        <w:t xml:space="preserve">So for every "never" in your policy, there is exactly one question: where is it physically enforced? The answer must be a place through which all subject work passes and which no component can bypass. If the answer is a system prompt, a fine-tune, a guardrail model, or a written instruction to an agent, the requirement is unenforced and your policy has recorded a control that does not exist.</w:t>
      </w:r>
    </w:p>
    <w:p>
      <w:pPr>
        <w:spacing w:after="120" w:before="0" w:line="276"/>
      </w:pPr>
      <w:r>
        <w:rPr>
          <w:b w:val="false"/>
          <w:bCs w:val="false"/>
          <w:i w:val="false"/>
          <w:iCs w:val="false"/>
          <w:color w:val="1B1A18"/>
          <w:sz w:val="20"/>
          <w:szCs w:val="20"/>
        </w:rPr>
        <w:t xml:space="preserve">That question takes ten seconds to ask and is the single highest-yield thing in this document. It also has an uncomfortable consequence: some of your existing controls will fail it, and the honest response is to reclassify them as mitigations rather than to relabel the enforcement.</w:t>
      </w:r>
    </w:p>
    <w:p>
      <w:pPr>
        <w:pStyle w:val="Heading1"/>
        <w:spacing w:after="130" w:before="300"/>
      </w:pPr>
      <w:r>
        <w:rPr>
          <w:b/>
          <w:bCs/>
          <w:color w:val="33302B"/>
          <w:sz w:val="29"/>
          <w:szCs w:val="29"/>
        </w:rPr>
        <w:t xml:space="preserve">What to read, and what to skip</w:t>
      </w:r>
    </w:p>
    <w:p>
      <w:pPr>
        <w:spacing w:after="140" w:line="276"/>
      </w:pPr>
      <w:r>
        <w:rPr>
          <w:i/>
          <w:iCs/>
          <w:color w:val="6E6A62"/>
          <w:sz w:val="20"/>
          <w:szCs w:val="20"/>
        </w:rPr>
        <w:t xml:space="preserve">The book is 23 chapters and you do not need most of them. This is the reading order for your role, with the reason. Anything not listed can be left — that is not modesty, it is that a chapter read without a use is a chapter forgotten.</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1500"/>
        <w:gridCol w:w="2900"/>
        <w:gridCol w:w="5680"/>
      </w:tblGrid>
      <w:tr>
        <w:trPr>
          <w:tblHeader/>
        </w:trPr>
        <w:tc>
          <w:tcPr>
            <w:tcW w:type="dxa" w:w="1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Chapter</w:t>
            </w:r>
          </w:p>
        </w:tc>
        <w:tc>
          <w:tcPr>
            <w:tcW w:type="dxa" w:w="29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Subject</w:t>
            </w:r>
          </w:p>
        </w:tc>
        <w:tc>
          <w:tcPr>
            <w:tcW w:type="dxa" w:w="5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Why it matters to you</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Custody under movement; the six properties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control taxonomy. Read this whether or not you read anything else, and read the derivation rather than the summary — you will be asked why six.</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four axioms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Regulatory determinism against probabilistic behaviour. This is section 2 above, argued properly. The chapter you will cite most in meetings.</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9</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Governance in structure, not models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Where governance physically lives. Gives you the vocabulary to reject an enforcement claim without being able to read code.</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18</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Governance that survives volume</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Why human oversight degrades into approval at machine speed. The chapter for your Article 14 problem.</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12</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Context is not data</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meaning error: data intact, significance lost. Explains a class of incident your register currently has no category for.</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22</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nine-test protocol</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Convert directly into your intake questionnaire and go-live gate. Section 5 below does this.</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23</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six custody rules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sentence per property. Usable as policy clauses with light editing.</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Skip for now</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Chapters 2, 13, 20, 21</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History, storage design, infrastructure economics, change management. Real content, wrong role — come back if you take on architecture review.</w:t>
            </w:r>
          </w:p>
        </w:tc>
      </w:tr>
    </w:tbl>
    <w:p>
      <w:pPr>
        <w:spacing w:after="140"/>
      </w:pPr>
    </w:p>
    <w:p>
      <w:pPr>
        <w:pStyle w:val="Heading1"/>
        <w:spacing w:after="130" w:before="300"/>
      </w:pPr>
      <w:r>
        <w:rPr>
          <w:b/>
          <w:bCs/>
          <w:color w:val="33302B"/>
          <w:sz w:val="29"/>
          <w:szCs w:val="29"/>
        </w:rPr>
        <w:t xml:space="preserve">4 · Your Article 14 problem, stated honestly</w:t>
      </w:r>
    </w:p>
    <w:p>
      <w:pPr>
        <w:spacing w:after="120" w:before="0" w:line="276"/>
      </w:pPr>
      <w:r>
        <w:rPr>
          <w:b w:val="false"/>
          <w:bCs w:val="false"/>
          <w:i w:val="false"/>
          <w:iCs w:val="false"/>
          <w:color w:val="1B1A18"/>
          <w:sz w:val="20"/>
          <w:szCs w:val="20"/>
        </w:rPr>
        <w:t xml:space="preserve">Human oversight is where governance functions instinctively place the weight, and at agentic volume it is the control most likely to be fictional. The mechanism is not incompetence. A reviewer who sees thousands of items cannot evaluate each one, and refusing has a cost while approving does not. Review becomes approval, then approval becomes a click, and the audit trail records human oversight throughout.</w:t>
      </w:r>
    </w:p>
    <w:p>
      <w:pPr>
        <w:spacing w:after="120" w:before="0" w:line="276"/>
      </w:pPr>
      <w:r>
        <w:rPr>
          <w:b w:val="false"/>
          <w:bCs w:val="false"/>
          <w:i w:val="false"/>
          <w:iCs w:val="false"/>
          <w:color w:val="1B1A18"/>
          <w:sz w:val="20"/>
          <w:szCs w:val="20"/>
        </w:rPr>
        <w:t xml:space="preserve">The consequence is legal, not operational: the institution has represented that it has a control that cannot function. There are only three honest responses, and choosing between them is your decision to document.</w:t>
      </w:r>
    </w:p>
    <w:p>
      <w:pPr>
        <w:pStyle w:val="ListParagraph"/>
        <w:numPr>
          <w:ilvl w:val="0"/>
          <w:numId w:val="2"/>
        </w:numPr>
        <w:spacing w:after="70" w:line="276"/>
      </w:pPr>
      <w:r>
        <w:rPr>
          <w:b/>
          <w:bCs/>
          <w:color w:val="1B1A18"/>
          <w:sz w:val="20"/>
          <w:szCs w:val="20"/>
        </w:rPr>
        <w:t xml:space="preserve">Reduce the volume so review is real. </w:t>
      </w:r>
      <w:r>
        <w:rPr>
          <w:color w:val="1B1A18"/>
          <w:sz w:val="20"/>
          <w:szCs w:val="20"/>
        </w:rPr>
        <w:t xml:space="preserve">Sample-based review is a different control and should be named as one. Full review at volume is not available.</w:t>
      </w:r>
    </w:p>
    <w:p>
      <w:pPr>
        <w:pStyle w:val="ListParagraph"/>
        <w:numPr>
          <w:ilvl w:val="0"/>
          <w:numId w:val="2"/>
        </w:numPr>
        <w:spacing w:after="70" w:line="276"/>
      </w:pPr>
      <w:r>
        <w:rPr>
          <w:b/>
          <w:bCs/>
          <w:color w:val="1B1A18"/>
          <w:sz w:val="20"/>
          <w:szCs w:val="20"/>
        </w:rPr>
        <w:t xml:space="preserve">Move enforcement into structure and let oversight supervise the structure. </w:t>
      </w:r>
      <w:r>
        <w:rPr>
          <w:color w:val="1B1A18"/>
          <w:sz w:val="20"/>
          <w:szCs w:val="20"/>
        </w:rPr>
        <w:t xml:space="preserve">The human reviews the gate, its rule set, and its exception log — not each transaction. This is the only option that scales, and it changes what the oversight role is.</w:t>
      </w:r>
    </w:p>
    <w:p>
      <w:pPr>
        <w:pStyle w:val="ListParagraph"/>
        <w:numPr>
          <w:ilvl w:val="0"/>
          <w:numId w:val="2"/>
        </w:numPr>
        <w:spacing w:after="70" w:line="276"/>
      </w:pPr>
      <w:r>
        <w:rPr>
          <w:b/>
          <w:bCs/>
          <w:color w:val="1B1A18"/>
          <w:sz w:val="20"/>
          <w:szCs w:val="20"/>
        </w:rPr>
        <w:t xml:space="preserve">Accept the residual risk explicitly, with the reasoning recorded. </w:t>
      </w:r>
      <w:r>
        <w:rPr>
          <w:color w:val="1B1A18"/>
          <w:sz w:val="20"/>
          <w:szCs w:val="20"/>
        </w:rPr>
        <w:t xml:space="preserve">Least attractive, entirely legitimate, and far better than the fourth option, which is to leave the fiction in the control library where an auditor or a regulator will find it.</w:t>
      </w:r>
    </w:p>
    <w:p>
      <w:pPr>
        <w:pStyle w:val="Heading1"/>
        <w:spacing w:after="130" w:before="300"/>
      </w:pPr>
      <w:r>
        <w:rPr>
          <w:b/>
          <w:bCs/>
          <w:color w:val="33302B"/>
          <w:sz w:val="29"/>
          <w:szCs w:val="29"/>
        </w:rPr>
        <w:t xml:space="preserve">5 · Converting the tests into your instruments</w:t>
      </w:r>
    </w:p>
    <w:p>
      <w:pPr>
        <w:spacing w:after="140" w:line="276"/>
      </w:pPr>
      <w:r>
        <w:rPr>
          <w:i/>
          <w:iCs/>
          <w:color w:val="6E6A62"/>
          <w:sz w:val="20"/>
          <w:szCs w:val="20"/>
        </w:rPr>
        <w:t xml:space="preserve">The nine tests were written for architects evaluating vendors. They convert with almost no editing into three artefacts you already own.</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600"/>
        <w:gridCol w:w="3400"/>
        <w:gridCol w:w="4080"/>
      </w:tblGrid>
      <w:tr>
        <w:trPr>
          <w:tblHeader/>
        </w:trPr>
        <w:tc>
          <w:tcPr>
            <w:tcW w:type="dxa" w:w="2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Your artefact</w:t>
            </w:r>
          </w:p>
        </w:tc>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Test to use</w:t>
            </w:r>
          </w:p>
        </w:tc>
        <w:tc>
          <w:tcPr>
            <w:tcW w:type="dxa" w:w="40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changes</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Use-case intake questionnaire</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Address test; origin test</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Every "never" in the proposal must name its enforcement point at intake, before build. Cheap then; expensive later.</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Register control columns</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six properties</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Six columns per entry rather than a free-text risk description. Makes gaps visible across the portfolio rather than per case.</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Go-live gate</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Last-month test, run forward</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Before approval, require a demonstration that a transaction executed today can be fully attributed — identity, authority, rule version — by query. If it cannot be now, it will not be in a year.</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Vendor review</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Dependency census; substitution test; expressibility test</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Turns a vendor questionnaire into a set of demonstrations. Also gives procurement something to put in a contract — see MZ-LAW-002.</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Board reporting</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Outlive test</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Gives you one non-technical sentence per system on whether the institution or a supplier holds the properties.</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Cost and risk reporting</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Two-invoices test</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If per-action cost cannot be produced, per-action risk exposure cannot either. The measurement deficit runs both ways, and that is a useful thing to be able to say to a CFO.</w:t>
            </w:r>
          </w:p>
        </w:tc>
      </w:tr>
    </w:tbl>
    <w:p>
      <w:pPr>
        <w:pStyle w:val="Heading1"/>
        <w:spacing w:after="130" w:before="300"/>
      </w:pPr>
      <w:r>
        <w:rPr>
          <w:b/>
          <w:bCs/>
          <w:color w:val="33302B"/>
          <w:sz w:val="29"/>
          <w:szCs w:val="29"/>
        </w:rPr>
        <w:t xml:space="preserve">6 · How to get this wrong</w:t>
      </w:r>
    </w:p>
    <w:p>
      <w:pPr>
        <w:pStyle w:val="ListParagraph"/>
        <w:numPr>
          <w:ilvl w:val="0"/>
          <w:numId w:val="3"/>
        </w:numPr>
        <w:spacing w:after="70" w:line="276"/>
      </w:pPr>
      <w:r>
        <w:rPr>
          <w:b/>
          <w:bCs/>
          <w:color w:val="1B1A18"/>
          <w:sz w:val="20"/>
          <w:szCs w:val="20"/>
        </w:rPr>
        <w:t xml:space="preserve">Adopting the vocabulary without changing the demand. </w:t>
      </w:r>
      <w:r>
        <w:rPr>
          <w:color w:val="1B1A18"/>
          <w:sz w:val="20"/>
          <w:szCs w:val="20"/>
        </w:rPr>
        <w:t xml:space="preserve">A policy that says work must cross boundaries "with custody of context" and requires no demonstration has added a word. The words are worthless; the demonstrations are the whole thing.</w:t>
      </w:r>
    </w:p>
    <w:p>
      <w:pPr>
        <w:pStyle w:val="ListParagraph"/>
        <w:numPr>
          <w:ilvl w:val="0"/>
          <w:numId w:val="3"/>
        </w:numPr>
        <w:spacing w:after="70" w:line="276"/>
      </w:pPr>
      <w:r>
        <w:rPr>
          <w:b/>
          <w:bCs/>
          <w:color w:val="1B1A18"/>
          <w:sz w:val="20"/>
          <w:szCs w:val="20"/>
        </w:rPr>
        <w:t xml:space="preserve">Treating the properties as a seventh framework. </w:t>
      </w:r>
      <w:r>
        <w:rPr>
          <w:color w:val="1B1A18"/>
          <w:sz w:val="20"/>
          <w:szCs w:val="20"/>
        </w:rPr>
        <w:t xml:space="preserve">You will lose the room. They sit beneath the framework you already have, and should be introduced that way.</w:t>
      </w:r>
    </w:p>
    <w:p>
      <w:pPr>
        <w:pStyle w:val="ListParagraph"/>
        <w:numPr>
          <w:ilvl w:val="0"/>
          <w:numId w:val="3"/>
        </w:numPr>
        <w:spacing w:after="70" w:line="276"/>
      </w:pPr>
      <w:r>
        <w:rPr>
          <w:b/>
          <w:bCs/>
          <w:color w:val="1B1A18"/>
          <w:sz w:val="20"/>
          <w:szCs w:val="20"/>
        </w:rPr>
        <w:t xml:space="preserve">Writing controls that specify architecture. </w:t>
      </w:r>
      <w:r>
        <w:rPr>
          <w:color w:val="1B1A18"/>
          <w:sz w:val="20"/>
          <w:szCs w:val="20"/>
        </w:rPr>
        <w:t xml:space="preserve">Require the outcome and the demonstration. The moment a control names a mechanism, it is obsolete on the next platform change and you own the obsolescence.</w:t>
      </w:r>
    </w:p>
    <w:p>
      <w:pPr>
        <w:pStyle w:val="ListParagraph"/>
        <w:numPr>
          <w:ilvl w:val="0"/>
          <w:numId w:val="3"/>
        </w:numPr>
        <w:spacing w:after="70" w:line="276"/>
      </w:pPr>
      <w:r>
        <w:rPr>
          <w:b/>
          <w:bCs/>
          <w:color w:val="1B1A18"/>
          <w:sz w:val="20"/>
          <w:szCs w:val="20"/>
        </w:rPr>
        <w:t xml:space="preserve">Asking engineers whether something is possible. </w:t>
      </w:r>
      <w:r>
        <w:rPr>
          <w:color w:val="1B1A18"/>
          <w:sz w:val="20"/>
          <w:szCs w:val="20"/>
        </w:rPr>
        <w:t xml:space="preserve">They will say yes, correctly. Ask where it is enforced, and ask for the demonstration. The gap between those two answers is where your exposure lives.</w:t>
      </w:r>
    </w:p>
    <w:p>
      <w:pPr>
        <w:pStyle w:val="ListParagraph"/>
        <w:numPr>
          <w:ilvl w:val="0"/>
          <w:numId w:val="3"/>
        </w:numPr>
        <w:spacing w:after="70" w:line="276"/>
      </w:pPr>
      <w:r>
        <w:rPr>
          <w:b/>
          <w:bCs/>
          <w:color w:val="1B1A18"/>
          <w:sz w:val="20"/>
          <w:szCs w:val="20"/>
        </w:rPr>
        <w:t xml:space="preserve">Running the address test once. </w:t>
      </w:r>
      <w:r>
        <w:rPr>
          <w:color w:val="1B1A18"/>
          <w:sz w:val="20"/>
          <w:szCs w:val="20"/>
        </w:rPr>
        <w:t xml:space="preserve">Enforcement points move when platforms change and nobody tells the governance function. It is a recurring check, not an onboarding one.</w:t>
      </w:r>
    </w:p>
    <w:p>
      <w:pPr>
        <w:pStyle w:val="Heading1"/>
        <w:spacing w:after="130" w:before="300"/>
      </w:pPr>
      <w:r>
        <w:rPr>
          <w:b/>
          <w:bCs/>
          <w:color w:val="33302B"/>
          <w:sz w:val="29"/>
          <w:szCs w:val="29"/>
        </w:rPr>
        <w:t xml:space="preserve">7 · Limits</w:t>
      </w:r>
    </w:p>
    <w:p>
      <w:pPr>
        <w:spacing w:after="120" w:before="0" w:line="276"/>
      </w:pPr>
      <w:r>
        <w:rPr>
          <w:b w:val="false"/>
          <w:bCs w:val="false"/>
          <w:i w:val="false"/>
          <w:iCs w:val="false"/>
          <w:color w:val="1B1A18"/>
          <w:sz w:val="20"/>
          <w:szCs w:val="20"/>
        </w:rPr>
        <w:t xml:space="preserve">This material addresses what structures carry across boundaries. It says nothing about model accuracy, bias, dataset representativeness, or fundamental-rights impact, all of which need different methods and are the subject of other work. A deployment can hold all six properties and still be unlawful, unfair, or unwise. Custody is necessary and not sufficient, and any use of this framing that implies otherwise will be corrected embarrassingly by the first serious challenge.</w:t>
      </w:r>
    </w:p>
    <w:p>
      <w:pPr>
        <w:spacing w:after="120" w:before="0" w:line="276"/>
      </w:pPr>
      <w:r>
        <w:rPr>
          <w:b w:val="false"/>
          <w:bCs w:val="false"/>
          <w:i w:val="false"/>
          <w:iCs w:val="false"/>
          <w:color w:val="1B1A18"/>
          <w:sz w:val="20"/>
          <w:szCs w:val="20"/>
        </w:rPr>
        <w:t xml:space="preserve">Legislative and standardisation status moves quickly. The dated status note in the standards folder of this bundle records what was verified and when; check it rather than relying on any date in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MZ-LAW-001 v1.0  •  practice guidance —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MZ-LAW-001 · for dedicated AI and technology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2026-08-17T17:40:00.408Z</dcterms:created>
  <dcterms:modified xsi:type="dcterms:W3CDTF">2026-08-17T17:40:00.408Z</dcterms:modified>
</cp:coreProperties>
</file>

<file path=docProps/custom.xml><?xml version="1.0" encoding="utf-8"?>
<Properties xmlns="http://schemas.openxmlformats.org/officeDocument/2006/custom-properties" xmlns:vt="http://schemas.openxmlformats.org/officeDocument/2006/docPropsVTypes"/>
</file>