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360"/>
        <w:jc w:val="center"/>
      </w:pPr>
      <w:r>
        <w:rPr>
          <w:b/>
          <w:bCs/>
          <w:caps/>
          <w:color w:val="33302B"/>
          <w:sz w:val="18"/>
          <w:szCs w:val="18"/>
        </w:rPr>
        <w:t xml:space="preserve">Practice guidance · for commercial and contracts counsel</w:t>
      </w:r>
    </w:p>
    <w:p>
      <w:pPr>
        <w:spacing w:after="60"/>
        <w:jc w:val="center"/>
      </w:pPr>
      <w:r>
        <w:rPr>
          <w:b/>
          <w:bCs/>
          <w:color w:val="1B1A18"/>
          <w:sz w:val="38"/>
          <w:szCs w:val="38"/>
        </w:rPr>
        <w:t xml:space="preserve">Putting Custody Into the Contract</w:t>
      </w:r>
    </w:p>
    <w:p>
      <w:pPr>
        <w:spacing w:after="150"/>
        <w:jc w:val="center"/>
      </w:pPr>
      <w:r>
        <w:rPr>
          <w:i/>
          <w:iCs/>
          <w:color w:val="6E6A62"/>
          <w:sz w:val="23"/>
          <w:szCs w:val="23"/>
        </w:rPr>
        <w:t xml:space="preserve">Demonstration rights, evidence undertakings, and the terms that survive a model change</w:t>
      </w:r>
    </w:p>
    <w:p>
      <w:pPr>
        <w:spacing w:after="40"/>
        <w:jc w:val="center"/>
      </w:pPr>
      <w:r>
        <w:rPr>
          <w:color w:val="1B1A18"/>
          <w:sz w:val="20"/>
          <w:szCs w:val="20"/>
        </w:rPr>
        <w:t xml:space="preserve">Derived from What the Structure Does Not Carry · Georg Zangl</w:t>
      </w:r>
    </w:p>
    <w:p>
      <w:pPr>
        <w:spacing w:after="220"/>
        <w:jc w:val="center"/>
      </w:pPr>
      <w:r>
        <w:rPr>
          <w:b/>
          <w:bCs/>
          <w:color w:val="33302B"/>
          <w:sz w:val="18"/>
          <w:szCs w:val="18"/>
        </w:rPr>
        <w:t xml:space="preserve">MZ-LAW-002 v1.0 · 17 August 2026</w:t>
      </w:r>
    </w:p>
    <w:tbl>
      <w:tblPr>
        <w:tblW w:type="dxa" w:w="10080"/>
        <w:tblBorders>
          <w:top w:val="single" w:color="D6D2C9" w:sz="4"/>
          <w:left w:val="single" w:color="8A8378" w:sz="12"/>
          <w:bottom w:val="single" w:color="D6D2C9" w:sz="4"/>
          <w:right w:val="single" w:color="D6D2C9" w:sz="4"/>
          <w:insideH w:val="none"/>
          <w:insideV w:val="none"/>
        </w:tblBorders>
      </w:tblPr>
      <w:tblGrid>
        <w:gridCol w:w="10080"/>
      </w:tblGrid>
      <w:tr>
        <w:tc>
          <w:tcPr>
            <w:tcW w:type="dxa" w:w="10080"/>
            <w:shd w:fill="F4F2EE" w:color="auto" w:val="clear"/>
            <w:tcMar>
              <w:top w:type="dxa" w:w="120"/>
              <w:left w:type="dxa" w:w="160"/>
              <w:bottom w:type="dxa" w:w="120"/>
              <w:right w:type="dxa" w:w="160"/>
            </w:tcMar>
          </w:tcPr>
          <w:p>
            <w:pPr>
              <w:spacing w:after="80" w:line="264"/>
            </w:pPr>
            <w:r>
              <w:rPr>
                <w:b/>
                <w:bCs/>
                <w:color w:val="1B1A18"/>
                <w:sz w:val="20"/>
                <w:szCs w:val="20"/>
              </w:rPr>
              <w:t xml:space="preserve">Not legal advice. </w:t>
            </w:r>
            <w:r>
              <w:rPr>
                <w:color w:val="1B1A18"/>
                <w:sz w:val="20"/>
                <w:szCs w:val="20"/>
              </w:rPr>
              <w:t xml:space="preserve">This is practice-support material written by an engineer, not a lawyer. It does not state the law of any jurisdiction, and every article, instrument, and retention period named here must be checked against the text in force where you practise. Its purpose is to supply mechanism — how systems fail at boundaries, and what evidence exists when they do — so that you can attach your own doctrine to it. Where it appears to make a legal claim, treat that as a drafting error and rely on your own analysis.</w:t>
            </w:r>
          </w:p>
          <w:p>
            <w:pPr>
              <w:spacing w:after="0" w:line="264"/>
            </w:pPr>
            <w:r>
              <w:rPr>
                <w:b/>
                <w:bCs/>
                <w:color w:val="1B1A18"/>
                <w:sz w:val="20"/>
                <w:szCs w:val="20"/>
              </w:rPr>
              <w:t xml:space="preserve">Declaration of interest. </w:t>
            </w:r>
            <w:r>
              <w:rPr>
                <w:color w:val="1B1A18"/>
                <w:sz w:val="20"/>
                <w:szCs w:val="20"/>
              </w:rPr>
              <w:t xml:space="preserve">The author writes about, and builds, infrastructure of the kind this material argues for. The instruments below are derived from stated requirements rather than calibrated to any product, and are meant to be run against the author’s own systems first. Every coined term is unencumbered: not trademarked, not licensed, free to adopt, rename, or discard.</w:t>
            </w:r>
          </w:p>
        </w:tc>
      </w:tr>
    </w:tbl>
    <w:p>
      <w:pPr>
        <w:pStyle w:val="Heading1"/>
        <w:spacing w:after="130" w:before="300"/>
      </w:pPr>
      <w:r>
        <w:rPr>
          <w:b/>
          <w:bCs/>
          <w:color w:val="33302B"/>
          <w:sz w:val="29"/>
          <w:szCs w:val="29"/>
        </w:rPr>
        <w:t xml:space="preserve">1 · Why this role is the leverage point</w:t>
      </w:r>
    </w:p>
    <w:p>
      <w:pPr>
        <w:spacing w:after="120" w:before="0" w:line="276"/>
      </w:pPr>
      <w:r>
        <w:rPr>
          <w:b w:val="false"/>
          <w:bCs w:val="false"/>
          <w:i w:val="false"/>
          <w:iCs w:val="false"/>
          <w:color w:val="1B1A18"/>
          <w:sz w:val="20"/>
          <w:szCs w:val="20"/>
        </w:rPr>
        <w:t xml:space="preserve">Governance functions write policy. Regulators write rules. Neither binds a supplier. You do.</w:t>
      </w:r>
    </w:p>
    <w:p>
      <w:pPr>
        <w:spacing w:after="120" w:before="0" w:line="276"/>
      </w:pPr>
      <w:r>
        <w:rPr>
          <w:b w:val="false"/>
          <w:bCs w:val="false"/>
          <w:i w:val="false"/>
          <w:iCs w:val="false"/>
          <w:color w:val="1B1A18"/>
          <w:sz w:val="20"/>
          <w:szCs w:val="20"/>
        </w:rPr>
        <w:t xml:space="preserve">Almost everything an institution will be able to demand of an agentic system in five years is being decided now, in contracts being signed this quarter, by people under time pressure using a template written for software licensing. The framework in the book is at its most useful here, because it converts into terms — and a term is the only artefact in this whole field that a supplier must actually satisfy.</w:t>
      </w:r>
    </w:p>
    <w:p>
      <w:pPr>
        <w:spacing w:after="120"/>
      </w:pPr>
    </w:p>
    <w:tbl>
      <w:tblPr>
        <w:tblW w:type="dxa" w:w="10080"/>
        <w:tblBorders>
          <w:top w:val="single" w:color="D6D2C9" w:sz="4"/>
          <w:left w:val="single" w:color="8A8378" w:sz="12"/>
          <w:bottom w:val="single" w:color="D6D2C9" w:sz="4"/>
          <w:right w:val="single" w:color="D6D2C9" w:sz="4"/>
          <w:insideH w:val="none"/>
          <w:insideV w:val="none"/>
        </w:tblBorders>
      </w:tblPr>
      <w:tblGrid>
        <w:gridCol w:w="10080"/>
      </w:tblGrid>
      <w:tr>
        <w:tc>
          <w:tcPr>
            <w:tcW w:type="dxa" w:w="10080"/>
            <w:shd w:fill="F4F2EE" w:color="auto" w:val="clear"/>
            <w:tcMar>
              <w:top w:type="dxa" w:w="120"/>
              <w:left w:type="dxa" w:w="160"/>
              <w:bottom w:type="dxa" w:w="120"/>
              <w:right w:type="dxa" w:w="160"/>
            </w:tcMar>
          </w:tcPr>
          <w:p>
            <w:pPr>
              <w:spacing w:after="0" w:line="264"/>
            </w:pPr>
            <w:r>
              <w:rPr>
                <w:b/>
                <w:bCs/>
                <w:color w:val="1B1A18"/>
                <w:sz w:val="20"/>
                <w:szCs w:val="20"/>
              </w:rPr>
              <w:t xml:space="preserve">The single most useful fact for your drafting. </w:t>
            </w:r>
            <w:r>
              <w:rPr>
                <w:color w:val="1B1A18"/>
                <w:sz w:val="20"/>
                <w:szCs w:val="20"/>
              </w:rPr>
              <w:t xml:space="preserve">The examination protocol requires no source code, no model weights, and no training data. That is what makes an audit right survivable. Suppliers defeat conventional audit rights with trade-secret and confidentiality objections, and they are usually right to. A right to a demonstration at a boundary, using the supplier’s own environment and revealing nothing about how it is built, is very hard to refuse and cheap to exercise — which means it will actually be exercised, unlike the audit right in your current template.</w:t>
            </w:r>
          </w:p>
        </w:tc>
      </w:tr>
    </w:tbl>
    <w:p>
      <w:pPr>
        <w:pStyle w:val="Heading1"/>
        <w:spacing w:after="130" w:before="300"/>
      </w:pPr>
      <w:r>
        <w:rPr>
          <w:b/>
          <w:bCs/>
          <w:color w:val="33302B"/>
          <w:sz w:val="29"/>
          <w:szCs w:val="29"/>
        </w:rPr>
        <w:t xml:space="preserve">2 · The one idea that matters most in your role</w:t>
      </w:r>
    </w:p>
    <w:p>
      <w:pPr>
        <w:spacing w:after="120" w:before="0" w:line="276"/>
      </w:pPr>
      <w:r>
        <w:rPr>
          <w:b w:val="false"/>
          <w:bCs w:val="false"/>
          <w:i w:val="false"/>
          <w:iCs w:val="false"/>
          <w:color w:val="1B1A18"/>
          <w:sz w:val="20"/>
          <w:szCs w:val="20"/>
        </w:rPr>
        <w:t xml:space="preserve">Draft the outcome and the demonstration, never the mechanism.</w:t>
      </w:r>
    </w:p>
    <w:p>
      <w:pPr>
        <w:spacing w:after="120" w:before="0" w:line="276"/>
      </w:pPr>
      <w:r>
        <w:rPr>
          <w:b w:val="false"/>
          <w:bCs w:val="false"/>
          <w:i w:val="false"/>
          <w:iCs w:val="false"/>
          <w:color w:val="1B1A18"/>
          <w:sz w:val="20"/>
          <w:szCs w:val="20"/>
        </w:rPr>
        <w:t xml:space="preserve">A warranty that names an architecture is a warranty the supplier will satisfy literally while the property fails, and it becomes obsolete the moment the platform changes. A warranty that states what must survive a boundary, plus a right to see it survive on demand, holds across any implementation and across a change of model.</w:t>
      </w:r>
    </w:p>
    <w:p>
      <w:pPr>
        <w:spacing w:after="120" w:before="0" w:line="276"/>
      </w:pPr>
      <w:r>
        <w:rPr>
          <w:b w:val="false"/>
          <w:bCs w:val="false"/>
          <w:i w:val="false"/>
          <w:iCs w:val="false"/>
          <w:color w:val="1B1A18"/>
          <w:sz w:val="20"/>
          <w:szCs w:val="20"/>
        </w:rPr>
        <w:t xml:space="preserve">This also solves your renewal problem. Agentic suppliers change models, sometimes quietly and often for good reasons. A mechanism-based term breaks at every change; an outcome-plus-demonstration term simply gets exercised again.</w:t>
      </w:r>
    </w:p>
    <w:p>
      <w:pPr>
        <w:pStyle w:val="Heading1"/>
        <w:spacing w:after="130" w:before="300"/>
      </w:pPr>
      <w:r>
        <w:rPr>
          <w:b/>
          <w:bCs/>
          <w:color w:val="33302B"/>
          <w:sz w:val="29"/>
          <w:szCs w:val="29"/>
        </w:rPr>
        <w:t xml:space="preserve">What to read, and what to skip</w:t>
      </w:r>
    </w:p>
    <w:p>
      <w:pPr>
        <w:spacing w:after="140" w:line="276"/>
      </w:pPr>
      <w:r>
        <w:rPr>
          <w:i/>
          <w:iCs/>
          <w:color w:val="6E6A62"/>
          <w:sz w:val="20"/>
          <w:szCs w:val="20"/>
        </w:rPr>
        <w:t xml:space="preserve">The book is 23 chapters and you do not need most of them. This is the reading order for your role, with the reason. Anything not listed can be left — that is not modesty, it is that a chapter read without a use is a chapter forgotten.</w:t>
      </w:r>
    </w:p>
    <w:p>
      <w:pPr>
        <w:spacing w:after="110"/>
      </w:pP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1500"/>
        <w:gridCol w:w="2900"/>
        <w:gridCol w:w="5680"/>
      </w:tblGrid>
      <w:tr>
        <w:trPr>
          <w:tblHeader/>
        </w:trPr>
        <w:tc>
          <w:tcPr>
            <w:tcW w:type="dxa" w:w="15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Chapter</w:t>
            </w:r>
          </w:p>
        </w:tc>
        <w:tc>
          <w:tcPr>
            <w:tcW w:type="dxa" w:w="29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Subject</w:t>
            </w:r>
          </w:p>
        </w:tc>
        <w:tc>
          <w:tcPr>
            <w:tcW w:type="dxa" w:w="568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Why it matters to you</w:t>
            </w:r>
          </w:p>
        </w:tc>
      </w:tr>
      <w:tr>
        <w:tc>
          <w:tcPr>
            <w:tcW w:type="dxa" w:w="1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17</w:t>
            </w:r>
          </w:p>
        </w:tc>
        <w:tc>
          <w:tcPr>
            <w:tcW w:type="dxa" w:w="29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Sovereignty as structure</w:t>
            </w:r>
          </w:p>
        </w:tc>
        <w:tc>
          <w:tcPr>
            <w:tcW w:type="dxa" w:w="5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dependency census and substitution test. Your exit, transition, and concentration terms come from here.</w:t>
            </w:r>
          </w:p>
        </w:tc>
      </w:tr>
      <w:tr>
        <w:tc>
          <w:tcPr>
            <w:tcW w:type="dxa" w:w="1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22</w:t>
            </w:r>
          </w:p>
        </w:tc>
        <w:tc>
          <w:tcPr>
            <w:tcW w:type="dxa" w:w="29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nine-test protocol</w:t>
            </w:r>
          </w:p>
        </w:tc>
        <w:tc>
          <w:tcPr>
            <w:tcW w:type="dxa" w:w="5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demonstration schedule. Section 4 below is this chapter rendered as contract terms.</w:t>
            </w:r>
          </w:p>
        </w:tc>
      </w:tr>
      <w:tr>
        <w:tc>
          <w:tcPr>
            <w:tcW w:type="dxa" w:w="1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18</w:t>
            </w:r>
          </w:p>
        </w:tc>
        <w:tc>
          <w:tcPr>
            <w:tcW w:type="dxa" w:w="29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Governance that survives volume</w:t>
            </w:r>
          </w:p>
        </w:tc>
        <w:tc>
          <w:tcPr>
            <w:tcW w:type="dxa" w:w="5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Evidence undertakings. What a record must contain to be worth anything in a dispute or an examination.</w:t>
            </w:r>
          </w:p>
        </w:tc>
      </w:tr>
      <w:tr>
        <w:tc>
          <w:tcPr>
            <w:tcW w:type="dxa" w:w="1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16</w:t>
            </w:r>
          </w:p>
        </w:tc>
        <w:tc>
          <w:tcPr>
            <w:tcW w:type="dxa" w:w="29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Isolation by construction</w:t>
            </w:r>
          </w:p>
        </w:tc>
        <w:tc>
          <w:tcPr>
            <w:tcW w:type="dxa" w:w="5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Tenancy and isolation warranties, and the expressibility test as the way to test one.</w:t>
            </w:r>
          </w:p>
        </w:tc>
      </w:tr>
      <w:tr>
        <w:tc>
          <w:tcPr>
            <w:tcW w:type="dxa" w:w="1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19</w:t>
            </w:r>
          </w:p>
        </w:tc>
        <w:tc>
          <w:tcPr>
            <w:tcW w:type="dxa" w:w="29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meter and the ledger</w:t>
            </w:r>
          </w:p>
        </w:tc>
        <w:tc>
          <w:tcPr>
            <w:tcW w:type="dxa" w:w="5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Billing transparency and per-action cost attribution. Also your leverage on consumption-based pricing.</w:t>
            </w:r>
          </w:p>
        </w:tc>
      </w:tr>
      <w:tr>
        <w:tc>
          <w:tcPr>
            <w:tcW w:type="dxa" w:w="1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14 and 15</w:t>
            </w:r>
          </w:p>
        </w:tc>
        <w:tc>
          <w:tcPr>
            <w:tcW w:type="dxa" w:w="29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Durability; memory as a target</w:t>
            </w:r>
          </w:p>
        </w:tc>
        <w:tc>
          <w:tcPr>
            <w:tcW w:type="dxa" w:w="5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Record retention, provenance, and the exit problem — records must outlive the contract or they were never yours.</w:t>
            </w:r>
          </w:p>
        </w:tc>
      </w:tr>
      <w:tr>
        <w:tc>
          <w:tcPr>
            <w:tcW w:type="dxa" w:w="1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4</w:t>
            </w:r>
          </w:p>
        </w:tc>
        <w:tc>
          <w:tcPr>
            <w:tcW w:type="dxa" w:w="29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six properties</w:t>
            </w:r>
          </w:p>
        </w:tc>
        <w:tc>
          <w:tcPr>
            <w:tcW w:type="dxa" w:w="5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warranty taxonomy. Read once so the schedule in section 4 makes sense.</w:t>
            </w:r>
          </w:p>
        </w:tc>
      </w:tr>
      <w:tr>
        <w:tc>
          <w:tcPr>
            <w:tcW w:type="dxa" w:w="1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Skip</w:t>
            </w:r>
          </w:p>
        </w:tc>
        <w:tc>
          <w:tcPr>
            <w:tcW w:type="dxa" w:w="29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Chapters 1–3, 7–13, 20–21</w:t>
            </w:r>
          </w:p>
        </w:tc>
        <w:tc>
          <w:tcPr>
            <w:tcW w:type="dxa" w:w="5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diagnosis and the architecture argument. Interesting, not billable. Read chapter 4 and come back if a negotiation turns technical.</w:t>
            </w:r>
          </w:p>
        </w:tc>
      </w:tr>
    </w:tbl>
    <w:p>
      <w:pPr>
        <w:spacing w:after="140"/>
      </w:pPr>
    </w:p>
    <w:p>
      <w:pPr>
        <w:pStyle w:val="Heading1"/>
        <w:spacing w:after="130" w:before="300"/>
      </w:pPr>
      <w:r>
        <w:rPr>
          <w:b/>
          <w:bCs/>
          <w:color w:val="33302B"/>
          <w:sz w:val="29"/>
          <w:szCs w:val="29"/>
        </w:rPr>
        <w:t xml:space="preserve">4 · A drafting schedule</w:t>
      </w:r>
    </w:p>
    <w:p>
      <w:pPr>
        <w:spacing w:after="140" w:line="276"/>
      </w:pPr>
      <w:r>
        <w:rPr>
          <w:i/>
          <w:iCs/>
          <w:color w:val="6E6A62"/>
          <w:sz w:val="20"/>
          <w:szCs w:val="20"/>
        </w:rPr>
        <w:t xml:space="preserve">Concepts, not clause text — wording has to be yours and has to fit your jurisdiction and template. The right-hand column is what the supplier must be able to show, which is the part templates usually omit.</w:t>
      </w:r>
    </w:p>
    <w:p>
      <w:pPr>
        <w:spacing w:after="110"/>
      </w:pP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2500"/>
        <w:gridCol w:w="3600"/>
        <w:gridCol w:w="3980"/>
      </w:tblGrid>
      <w:tr>
        <w:trPr>
          <w:tblHeader/>
        </w:trPr>
        <w:tc>
          <w:tcPr>
            <w:tcW w:type="dxa" w:w="25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Term</w:t>
            </w:r>
          </w:p>
        </w:tc>
        <w:tc>
          <w:tcPr>
            <w:tcW w:type="dxa" w:w="36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What it should require</w:t>
            </w:r>
          </w:p>
        </w:tc>
        <w:tc>
          <w:tcPr>
            <w:tcW w:type="dxa" w:w="398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The demonstration behind it</w:t>
            </w:r>
          </w:p>
        </w:tc>
      </w:tr>
      <w:tr>
        <w:tc>
          <w:tcPr>
            <w:tcW w:type="dxa" w:w="2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Boundary warranty</w:t>
            </w:r>
          </w:p>
        </w:tc>
        <w:tc>
          <w:tcPr>
            <w:tcW w:type="dxa" w:w="36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That work crossing between systems carries the conditions determining how its values are to be interpreted, and that a destination refuses or escalates work arriving without them.</w:t>
            </w:r>
          </w:p>
        </w:tc>
        <w:tc>
          <w:tcPr>
            <w:tcW w:type="dxa" w:w="3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One live crossing, chosen by the customer, inspected at the destination.</w:t>
            </w:r>
          </w:p>
        </w:tc>
      </w:tr>
      <w:tr>
        <w:tc>
          <w:tcPr>
            <w:tcW w:type="dxa" w:w="2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Enforcement warranty</w:t>
            </w:r>
          </w:p>
        </w:tc>
        <w:tc>
          <w:tcPr>
            <w:tcW w:type="dxa" w:w="36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That each rule identified by the customer as admitting no exception has a single enforcement point through which all subject work passes, and that enforcement does not rest on instructions given to a model.</w:t>
            </w:r>
          </w:p>
        </w:tc>
        <w:tc>
          <w:tcPr>
            <w:tcW w:type="dxa" w:w="3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An attempted breach, refused — including one originating from a privileged component.</w:t>
            </w:r>
          </w:p>
        </w:tc>
      </w:tr>
      <w:tr>
        <w:tc>
          <w:tcPr>
            <w:tcW w:type="dxa" w:w="2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Authority warranty</w:t>
            </w:r>
          </w:p>
        </w:tc>
        <w:tc>
          <w:tcPr>
            <w:tcW w:type="dxa" w:w="36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That decision rights are held as data outside the components exercising them, and that grant and revocation take effect without a release.</w:t>
            </w:r>
          </w:p>
        </w:tc>
        <w:tc>
          <w:tcPr>
            <w:tcW w:type="dxa" w:w="3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Revocation, followed by a crossing that is refused.</w:t>
            </w:r>
          </w:p>
        </w:tc>
      </w:tr>
      <w:tr>
        <w:tc>
          <w:tcPr>
            <w:tcW w:type="dxa" w:w="2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Evidence undertaking</w:t>
            </w:r>
          </w:p>
        </w:tc>
        <w:tc>
          <w:tcPr>
            <w:tcW w:type="dxa" w:w="36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That attribution is generated at execution and includes acting identity, authority relied upon, and the version of the rule then in force; and that it is produced by query.</w:t>
            </w:r>
          </w:p>
        </w:tc>
        <w:tc>
          <w:tcPr>
            <w:tcW w:type="dxa" w:w="3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One transaction from at least a month earlier, attributed in full, in the room.</w:t>
            </w:r>
          </w:p>
        </w:tc>
      </w:tr>
      <w:tr>
        <w:tc>
          <w:tcPr>
            <w:tcW w:type="dxa" w:w="2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Independent verification</w:t>
            </w:r>
          </w:p>
        </w:tc>
        <w:tc>
          <w:tcPr>
            <w:tcW w:type="dxa" w:w="36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That the record can be verified by a party who does not operate the system.</w:t>
            </w:r>
          </w:p>
        </w:tc>
        <w:tc>
          <w:tcPr>
            <w:tcW w:type="dxa" w:w="3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verification method, exercised by the customer or its auditor.</w:t>
            </w:r>
          </w:p>
        </w:tc>
      </w:tr>
      <w:tr>
        <w:tc>
          <w:tcPr>
            <w:tcW w:type="dxa" w:w="2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Isolation warranty</w:t>
            </w:r>
          </w:p>
        </w:tc>
        <w:tc>
          <w:tcPr>
            <w:tcW w:type="dxa" w:w="36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That a statement capable of crossing a tenancy or jurisdictional boundary cannot be expressed, rather than being prohibited by policy.</w:t>
            </w:r>
          </w:p>
        </w:tc>
        <w:tc>
          <w:tcPr>
            <w:tcW w:type="dxa" w:w="3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supplier’s engineers attempting to write it.</w:t>
            </w:r>
          </w:p>
        </w:tc>
      </w:tr>
      <w:tr>
        <w:tc>
          <w:tcPr>
            <w:tcW w:type="dxa" w:w="2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Provenance undertaking</w:t>
            </w:r>
          </w:p>
        </w:tc>
        <w:tc>
          <w:tcPr>
            <w:tcW w:type="dxa" w:w="36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That the durable store accepts writes only through a defined procedure establishing provenance, and that readers receive a provenance class they can act on.</w:t>
            </w:r>
          </w:p>
        </w:tc>
        <w:tc>
          <w:tcPr>
            <w:tcW w:type="dxa" w:w="3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 write without provenance, refused; untrusted content shown unable to influence a reserved decision.</w:t>
            </w:r>
          </w:p>
        </w:tc>
      </w:tr>
      <w:tr>
        <w:tc>
          <w:tcPr>
            <w:tcW w:type="dxa" w:w="2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Model change</w:t>
            </w:r>
          </w:p>
        </w:tc>
        <w:tc>
          <w:tcPr>
            <w:tcW w:type="dxa" w:w="36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That the supplier may change models, and that every warranty above continues to hold across the change, with notice and a right to re-run the demonstrations.</w:t>
            </w:r>
          </w:p>
        </w:tc>
        <w:tc>
          <w:tcPr>
            <w:tcW w:type="dxa" w:w="3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Re-run on notice, at the supplier’s cost.</w:t>
            </w:r>
          </w:p>
        </w:tc>
      </w:tr>
      <w:tr>
        <w:tc>
          <w:tcPr>
            <w:tcW w:type="dxa" w:w="2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Consumption and cost</w:t>
            </w:r>
          </w:p>
        </w:tc>
        <w:tc>
          <w:tcPr>
            <w:tcW w:type="dxa" w:w="36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Per-action cost and consumption records derived from execution, available to the customer.</w:t>
            </w:r>
          </w:p>
        </w:tc>
        <w:tc>
          <w:tcPr>
            <w:tcW w:type="dxa" w:w="3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One agent, one month, itemised.</w:t>
            </w:r>
          </w:p>
        </w:tc>
      </w:tr>
      <w:tr>
        <w:tc>
          <w:tcPr>
            <w:tcW w:type="dxa" w:w="2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Dependency disclosure</w:t>
            </w:r>
          </w:p>
        </w:tc>
        <w:tc>
          <w:tcPr>
            <w:tcW w:type="dxa" w:w="36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 maintained list of every party whose availability, pricing, or policy the service depends on, updated on change.</w:t>
            </w:r>
          </w:p>
        </w:tc>
        <w:tc>
          <w:tcPr>
            <w:tcW w:type="dxa" w:w="3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list, with the date it was last changed.</w:t>
            </w:r>
          </w:p>
        </w:tc>
      </w:tr>
      <w:tr>
        <w:tc>
          <w:tcPr>
            <w:tcW w:type="dxa" w:w="2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Substitution and exit</w:t>
            </w:r>
          </w:p>
        </w:tc>
        <w:tc>
          <w:tcPr>
            <w:tcW w:type="dxa" w:w="36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That any single dependency can be replaced within a defined period, and that on termination the customer receives its records in a form usable without the supplier.</w:t>
            </w:r>
          </w:p>
        </w:tc>
        <w:tc>
          <w:tcPr>
            <w:tcW w:type="dxa" w:w="3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Named replacement path; export tested during the term, not at the end of it.</w:t>
            </w:r>
          </w:p>
        </w:tc>
      </w:tr>
      <w:tr>
        <w:tc>
          <w:tcPr>
            <w:tcW w:type="dxa" w:w="2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Demonstration right</w:t>
            </w:r>
          </w:p>
        </w:tc>
        <w:tc>
          <w:tcPr>
            <w:tcW w:type="dxa" w:w="36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 standing right, exercisable on reasonable notice a defined number of times a year, to require any demonstration in this schedule, without access to source code, model weights, or training data.</w:t>
            </w:r>
          </w:p>
        </w:tc>
        <w:tc>
          <w:tcPr>
            <w:tcW w:type="dxa" w:w="3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right itself — and it should be exercised once early, so both sides know it is real.</w:t>
            </w:r>
          </w:p>
        </w:tc>
      </w:tr>
    </w:tbl>
    <w:p>
      <w:pPr>
        <w:pStyle w:val="Heading1"/>
        <w:spacing w:after="130" w:before="300"/>
      </w:pPr>
      <w:r>
        <w:rPr>
          <w:b/>
          <w:bCs/>
          <w:color w:val="33302B"/>
          <w:sz w:val="29"/>
          <w:szCs w:val="29"/>
        </w:rPr>
        <w:t xml:space="preserve">5 · Where liability actually lands</w:t>
      </w:r>
    </w:p>
    <w:p>
      <w:pPr>
        <w:spacing w:after="120" w:before="0" w:line="276"/>
      </w:pPr>
      <w:r>
        <w:rPr>
          <w:b w:val="false"/>
          <w:bCs w:val="false"/>
          <w:i w:val="false"/>
          <w:iCs w:val="false"/>
          <w:color w:val="1B1A18"/>
          <w:sz w:val="20"/>
          <w:szCs w:val="20"/>
        </w:rPr>
        <w:t xml:space="preserve">Worth knowing before you negotiate allocation, because the market has not converged and your counterparty may sincerely believe something different from your regulator.</w:t>
      </w:r>
    </w:p>
    <w:p>
      <w:pPr>
        <w:spacing w:after="120" w:before="0" w:line="276"/>
      </w:pPr>
      <w:r>
        <w:rPr>
          <w:b w:val="false"/>
          <w:bCs w:val="false"/>
          <w:i w:val="false"/>
          <w:iCs w:val="false"/>
          <w:color w:val="1B1A18"/>
          <w:sz w:val="20"/>
          <w:szCs w:val="20"/>
        </w:rPr>
        <w:t xml:space="preserve">In the 2026 CCAF survey of 628 financial institutions, vendors and regulators, regulators most often placed primary responsibility for AI-related harm on the regulated institution — 38% — while only 18% of industry and 16% of vendors expected it to land there. Between 29% and 39% of every group preferred case-by-case allocation, which the report notes is typically defined contractually.</w:t>
      </w:r>
    </w:p>
    <w:p>
      <w:pPr>
        <w:spacing w:after="120" w:before="0" w:line="276"/>
      </w:pPr>
      <w:r>
        <w:rPr>
          <w:b w:val="false"/>
          <w:bCs w:val="false"/>
          <w:i w:val="false"/>
          <w:iCs w:val="false"/>
          <w:color w:val="1B1A18"/>
          <w:sz w:val="20"/>
          <w:szCs w:val="20"/>
        </w:rPr>
        <w:t xml:space="preserve">Two consequences for you. Supervisors are likely to hold your client accountable whatever the contract says, so terms should be drafted for recourse and evidence rather than for transfer of the primary duty. And because allocation is happening contractually rather than by legislation, the drafting is where the standard is being set — by you, quietly, one agreement at a time.</w:t>
      </w:r>
    </w:p>
    <w:p>
      <w:pPr>
        <w:pStyle w:val="Heading1"/>
        <w:spacing w:after="130" w:before="300"/>
      </w:pPr>
      <w:r>
        <w:rPr>
          <w:b/>
          <w:bCs/>
          <w:color w:val="33302B"/>
          <w:sz w:val="29"/>
          <w:szCs w:val="29"/>
        </w:rPr>
        <w:t xml:space="preserve">6 · How to get this wrong</w:t>
      </w:r>
    </w:p>
    <w:p>
      <w:pPr>
        <w:pStyle w:val="ListParagraph"/>
        <w:numPr>
          <w:ilvl w:val="0"/>
          <w:numId w:val="2"/>
        </w:numPr>
        <w:spacing w:after="70" w:line="276"/>
      </w:pPr>
      <w:r>
        <w:rPr>
          <w:b/>
          <w:bCs/>
          <w:color w:val="1B1A18"/>
          <w:sz w:val="20"/>
          <w:szCs w:val="20"/>
        </w:rPr>
        <w:t xml:space="preserve">Accepting an audit right instead of a demonstration right. </w:t>
      </w:r>
      <w:r>
        <w:rPr>
          <w:color w:val="1B1A18"/>
          <w:sz w:val="20"/>
          <w:szCs w:val="20"/>
        </w:rPr>
        <w:t xml:space="preserve">An audit right requires notice, scope negotiation, cost allocation, and a confidentiality fight, so it is exercised roughly never. A demonstration right is a meeting.</w:t>
      </w:r>
    </w:p>
    <w:p>
      <w:pPr>
        <w:pStyle w:val="ListParagraph"/>
        <w:numPr>
          <w:ilvl w:val="0"/>
          <w:numId w:val="2"/>
        </w:numPr>
        <w:spacing w:after="70" w:line="276"/>
      </w:pPr>
      <w:r>
        <w:rPr>
          <w:b/>
          <w:bCs/>
          <w:color w:val="1B1A18"/>
          <w:sz w:val="20"/>
          <w:szCs w:val="20"/>
        </w:rPr>
        <w:t xml:space="preserve">Warranting architecture. </w:t>
      </w:r>
      <w:r>
        <w:rPr>
          <w:color w:val="1B1A18"/>
          <w:sz w:val="20"/>
          <w:szCs w:val="20"/>
        </w:rPr>
        <w:t xml:space="preserve">The supplier complies literally, the property fails anyway, and you have no claim because they did what the contract said.</w:t>
      </w:r>
    </w:p>
    <w:p>
      <w:pPr>
        <w:pStyle w:val="ListParagraph"/>
        <w:numPr>
          <w:ilvl w:val="0"/>
          <w:numId w:val="2"/>
        </w:numPr>
        <w:spacing w:after="70" w:line="276"/>
      </w:pPr>
      <w:r>
        <w:rPr>
          <w:b/>
          <w:bCs/>
          <w:color w:val="1B1A18"/>
          <w:sz w:val="20"/>
          <w:szCs w:val="20"/>
        </w:rPr>
        <w:t xml:space="preserve">Leaving records inside the supplier at exit. </w:t>
      </w:r>
      <w:r>
        <w:rPr>
          <w:color w:val="1B1A18"/>
          <w:sz w:val="20"/>
          <w:szCs w:val="20"/>
        </w:rPr>
        <w:t xml:space="preserve">Evidence you cannot take with you belonged to the supplier all along. This is the most commonly missed term in the schedule and the most expensive one to discover late.</w:t>
      </w:r>
    </w:p>
    <w:p>
      <w:pPr>
        <w:pStyle w:val="ListParagraph"/>
        <w:numPr>
          <w:ilvl w:val="0"/>
          <w:numId w:val="2"/>
        </w:numPr>
        <w:spacing w:after="70" w:line="276"/>
      </w:pPr>
      <w:r>
        <w:rPr>
          <w:b/>
          <w:bCs/>
          <w:color w:val="1B1A18"/>
          <w:sz w:val="20"/>
          <w:szCs w:val="20"/>
        </w:rPr>
        <w:t xml:space="preserve">Drafting warranties nobody will ever test. </w:t>
      </w:r>
      <w:r>
        <w:rPr>
          <w:color w:val="1B1A18"/>
          <w:sz w:val="20"/>
          <w:szCs w:val="20"/>
        </w:rPr>
        <w:t xml:space="preserve">Exercise the demonstration right once in the first quarter. An untested right decays into a comfort clause, and both parties know it.</w:t>
      </w:r>
    </w:p>
    <w:p>
      <w:pPr>
        <w:pStyle w:val="ListParagraph"/>
        <w:numPr>
          <w:ilvl w:val="0"/>
          <w:numId w:val="2"/>
        </w:numPr>
        <w:spacing w:after="70" w:line="276"/>
      </w:pPr>
      <w:r>
        <w:rPr>
          <w:b/>
          <w:bCs/>
          <w:color w:val="1B1A18"/>
          <w:sz w:val="20"/>
          <w:szCs w:val="20"/>
        </w:rPr>
        <w:t xml:space="preserve">Treating the schedule as boilerplate to attach. </w:t>
      </w:r>
      <w:r>
        <w:rPr>
          <w:color w:val="1B1A18"/>
          <w:sz w:val="20"/>
          <w:szCs w:val="20"/>
        </w:rPr>
        <w:t xml:space="preserve">Ask the client which rules genuinely admit no exception. There will be fewer than they claim, and the short list is the one worth warranting properly.</w:t>
      </w:r>
    </w:p>
    <w:p>
      <w:pPr>
        <w:pStyle w:val="Heading1"/>
        <w:spacing w:after="130" w:before="300"/>
      </w:pPr>
      <w:r>
        <w:rPr>
          <w:b/>
          <w:bCs/>
          <w:color w:val="33302B"/>
          <w:sz w:val="29"/>
          <w:szCs w:val="29"/>
        </w:rPr>
        <w:t xml:space="preserve">7 · Limits</w:t>
      </w:r>
    </w:p>
    <w:p>
      <w:pPr>
        <w:spacing w:after="120" w:before="0" w:line="276"/>
      </w:pPr>
      <w:r>
        <w:rPr>
          <w:b w:val="false"/>
          <w:bCs w:val="false"/>
          <w:i w:val="false"/>
          <w:iCs w:val="false"/>
          <w:color w:val="1B1A18"/>
          <w:sz w:val="20"/>
          <w:szCs w:val="20"/>
        </w:rPr>
        <w:t xml:space="preserve">These are concepts for your own drafting, not clause text, and they have not been tested in any court or against any template. They address what a system carries across boundaries and nothing else — not accuracy, not bias, not fundamental-rights impact. Nothing here is legal advice or a substitute for your own analysis under the law in force, and article and instrument references should be verified against the current text.</w:t>
      </w:r>
    </w:p>
    <w:p>
      <w:pPr>
        <w:pBdr>
          <w:top w:val="single" w:color="D6D2C9" w:sz="4" w:space="8"/>
        </w:pBdr>
        <w:spacing w:after="100" w:before="360"/>
      </w:pPr>
    </w:p>
    <w:p>
      <w:pPr>
        <w:spacing w:after="60"/>
      </w:pPr>
      <w:r>
        <w:rPr>
          <w:b/>
          <w:bCs/>
          <w:color w:val="33302B"/>
          <w:sz w:val="17"/>
          <w:szCs w:val="17"/>
        </w:rPr>
        <w:t xml:space="preserve">Author’s note</w:t>
      </w:r>
    </w:p>
    <w:p>
      <w:pPr>
        <w:spacing w:after="0" w:line="250"/>
      </w:pPr>
      <w:r>
        <w:rPr>
          <w:color w:val="6E6A62"/>
          <w:sz w:val="17"/>
          <w:szCs w:val="17"/>
        </w:rPr>
        <w:t xml:space="preserve">The content of this document is the author’s. The framework, the six properties, the four axioms, the nine tests and the consequence records are drawn from </w:t>
      </w:r>
      <w:r>
        <w:rPr>
          <w:i/>
          <w:iCs/>
          <w:color w:val="6E6A62"/>
          <w:sz w:val="17"/>
          <w:szCs w:val="17"/>
        </w:rPr>
        <w:t xml:space="preserve">What the Structure Does Not Carry</w:t>
      </w:r>
      <w:r>
        <w:rPr>
          <w:color w:val="6E6A62"/>
          <w:sz w:val="17"/>
          <w:szCs w:val="17"/>
        </w:rPr>
        <w:t xml:space="preserve"> (Georg Zangl, 2026). The document was drafted with the assistance of Claude, an AI assistant made by Anthropic. The author has reviewed it and holds editorial responsibility for it.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color w:val="6E6A62"/>
        <w:sz w:val="16"/>
        <w:szCs w:val="16"/>
      </w:rPr>
      <w:t xml:space="preserve">MZ-LAW-002 v1.0  •  practice guidance — not legal advice  •  Page </w:t>
    </w:r>
    <w:r>
      <w:rPr>
        <w:color w:val="6E6A6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6E6A62"/>
        <w:sz w:val="16"/>
        <w:szCs w:val="16"/>
      </w:rPr>
      <w:t xml:space="preserve">MZ-LAW-002 · for commercial and contracts counsel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68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A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33302B"/>
      <w:sz w:val="29"/>
      <w:szCs w:val="29"/>
    </w:rPr>
  </w:style>
  <w:style w:type="paragraph" w:styleId="Heading2">
    <w:name w:val="Heading 2"/>
    <w:basedOn w:val="Normal"/>
    <w:next w:val="Normal"/>
    <w:qFormat/>
    <w:rPr>
      <w:rFonts w:ascii="Georgia" w:cs="Georgia" w:eastAsia="Georgia" w:hAnsi="Georgia"/>
      <w:b/>
      <w:bCs/>
      <w:color w:val="33302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2026-08-18T06:30:51.110Z</dcterms:created>
  <dcterms:modified xsi:type="dcterms:W3CDTF">2026-08-18T06:30:51.110Z</dcterms:modified>
</cp:coreProperties>
</file>

<file path=docProps/custom.xml><?xml version="1.0" encoding="utf-8"?>
<Properties xmlns="http://schemas.openxmlformats.org/officeDocument/2006/custom-properties" xmlns:vt="http://schemas.openxmlformats.org/officeDocument/2006/docPropsVTypes"/>
</file>