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Practice guidance · for bar and law society technology committees</w:t>
      </w:r>
    </w:p>
    <w:p>
      <w:pPr>
        <w:spacing w:after="60"/>
        <w:jc w:val="center"/>
      </w:pPr>
      <w:r>
        <w:rPr>
          <w:b/>
          <w:bCs/>
          <w:color w:val="1B1A18"/>
          <w:sz w:val="38"/>
          <w:szCs w:val="38"/>
        </w:rPr>
        <w:t xml:space="preserve">Writing Guidance That Will Still Be True in Three Years</w:t>
      </w:r>
    </w:p>
    <w:p>
      <w:pPr>
        <w:spacing w:after="150"/>
        <w:jc w:val="center"/>
      </w:pPr>
      <w:r>
        <w:rPr>
          <w:i/>
          <w:iCs/>
          <w:color w:val="6E6A62"/>
          <w:sz w:val="23"/>
          <w:szCs w:val="23"/>
        </w:rPr>
        <w:t xml:space="preserve">Practice notes, consultation responses, and the profession’s own use of AI</w:t>
      </w:r>
    </w:p>
    <w:p>
      <w:pPr>
        <w:spacing w:after="40"/>
        <w:jc w:val="center"/>
      </w:pPr>
      <w:r>
        <w:rPr>
          <w:color w:val="1B1A18"/>
          <w:sz w:val="20"/>
          <w:szCs w:val="20"/>
        </w:rPr>
        <w:t xml:space="preserve">Derived from What the Structure Does Not Carry · Georg Zangl</w:t>
      </w:r>
    </w:p>
    <w:p>
      <w:pPr>
        <w:spacing w:after="220"/>
        <w:jc w:val="center"/>
      </w:pPr>
      <w:r>
        <w:rPr>
          <w:b/>
          <w:bCs/>
          <w:color w:val="33302B"/>
          <w:sz w:val="18"/>
          <w:szCs w:val="18"/>
        </w:rPr>
        <w:t xml:space="preserve">MZ-LAW-004 v1.0 · 17 August 2026</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Not legal advice. </w:t>
            </w:r>
            <w:r>
              <w:rPr>
                <w:color w:val="1B1A18"/>
                <w:sz w:val="20"/>
                <w:szCs w:val="20"/>
              </w:rPr>
              <w:t xml:space="preserve">This is practice-support material written by an engineer, not a lawyer. It does not state the law of any jurisdiction, and every article, instrument, and retention period named here must be checked against the text in force where you practise. Its purpose is to supply mechanism — how systems fail at boundaries, and what evidence exists when they do — so that you can attach your own doctrine to it. Where it appears to make a legal claim, treat that as a drafting error and rely on your own analysis.</w:t>
            </w:r>
          </w:p>
          <w:p>
            <w:pPr>
              <w:spacing w:after="0" w:line="264"/>
            </w:pPr>
            <w:r>
              <w:rPr>
                <w:b/>
                <w:bCs/>
                <w:color w:val="1B1A18"/>
                <w:sz w:val="20"/>
                <w:szCs w:val="20"/>
              </w:rPr>
              <w:t xml:space="preserve">Declaration of interest. </w:t>
            </w:r>
            <w:r>
              <w:rPr>
                <w:color w:val="1B1A18"/>
                <w:sz w:val="20"/>
                <w:szCs w:val="20"/>
              </w:rPr>
              <w:t xml:space="preserve">The author writes about, and builds, infrastructure of the kind this material argues for. The instruments below are derived from stated requirements rather than calibrated to any product, and are meant to be run against the author’s own systems first. Every coined term is unencumbered: not trademarked, not licensed, free to adopt, rename, or discard.</w:t>
            </w:r>
          </w:p>
        </w:tc>
      </w:tr>
    </w:tbl>
    <w:p>
      <w:pPr>
        <w:pStyle w:val="Heading1"/>
        <w:spacing w:after="130" w:before="300"/>
      </w:pPr>
      <w:r>
        <w:rPr>
          <w:b/>
          <w:bCs/>
          <w:color w:val="33302B"/>
          <w:sz w:val="29"/>
          <w:szCs w:val="29"/>
        </w:rPr>
        <w:t xml:space="preserve">1 · What this role can do that no other can</w:t>
      </w:r>
    </w:p>
    <w:p>
      <w:pPr>
        <w:spacing w:after="120" w:before="0" w:line="276"/>
      </w:pPr>
      <w:r>
        <w:rPr>
          <w:b w:val="false"/>
          <w:bCs w:val="false"/>
          <w:i w:val="false"/>
          <w:iCs w:val="false"/>
          <w:color w:val="1B1A18"/>
          <w:sz w:val="20"/>
          <w:szCs w:val="20"/>
        </w:rPr>
        <w:t xml:space="preserve">A committee writing a practice note reaches every lawyer in a jurisdiction, is read by regulators, and is cited for years. It also cannot be revised quickly. That combination makes durability the governing constraint on everything you draft — more than accuracy, more than completeness, more than ambition.</w:t>
      </w:r>
    </w:p>
    <w:p>
      <w:pPr>
        <w:spacing w:after="120" w:before="0" w:line="276"/>
      </w:pPr>
      <w:r>
        <w:rPr>
          <w:b w:val="false"/>
          <w:bCs w:val="false"/>
          <w:i w:val="false"/>
          <w:iCs w:val="false"/>
          <w:color w:val="1B1A18"/>
          <w:sz w:val="20"/>
          <w:szCs w:val="20"/>
        </w:rPr>
        <w:t xml:space="preserve">Two failure modes account for most guidance that ages badly, and both are avoidable at the drafting stage.</w:t>
      </w:r>
    </w:p>
    <w:p>
      <w:pPr>
        <w:pStyle w:val="ListParagraph"/>
        <w:numPr>
          <w:ilvl w:val="0"/>
          <w:numId w:val="2"/>
        </w:numPr>
        <w:spacing w:after="70" w:line="276"/>
      </w:pPr>
      <w:r>
        <w:rPr>
          <w:b/>
          <w:bCs/>
          <w:color w:val="1B1A18"/>
          <w:sz w:val="20"/>
          <w:szCs w:val="20"/>
        </w:rPr>
        <w:t xml:space="preserve">Naming technologies. </w:t>
      </w:r>
      <w:r>
        <w:rPr>
          <w:color w:val="1B1A18"/>
          <w:sz w:val="20"/>
          <w:szCs w:val="20"/>
        </w:rPr>
        <w:t xml:space="preserve">Guidance that mentions specific models, vendors, or techniques is dated on publication and embarrassing within a year. State the property to be preserved and let the technology be whatever it is.</w:t>
      </w:r>
    </w:p>
    <w:p>
      <w:pPr>
        <w:pStyle w:val="ListParagraph"/>
        <w:numPr>
          <w:ilvl w:val="0"/>
          <w:numId w:val="2"/>
        </w:numPr>
        <w:spacing w:after="70" w:line="276"/>
      </w:pPr>
      <w:r>
        <w:rPr>
          <w:b/>
          <w:bCs/>
          <w:color w:val="1B1A18"/>
          <w:sz w:val="20"/>
          <w:szCs w:val="20"/>
        </w:rPr>
        <w:t xml:space="preserve">Requiring human review as the universal control. </w:t>
      </w:r>
      <w:r>
        <w:rPr>
          <w:color w:val="1B1A18"/>
          <w:sz w:val="20"/>
          <w:szCs w:val="20"/>
        </w:rPr>
        <w:t xml:space="preserve">It is the instinctive recommendation and at agentic volume it is not implementable, which produces guidance the profession breaches routinely — the worst outcome available to a committee, because it teaches practitioners that the guidance is decorative.</w:t>
      </w:r>
    </w:p>
    <w:p>
      <w:pPr>
        <w:pStyle w:val="Heading1"/>
        <w:spacing w:after="130" w:before="300"/>
      </w:pPr>
      <w:r>
        <w:rPr>
          <w:b/>
          <w:bCs/>
          <w:color w:val="33302B"/>
          <w:sz w:val="29"/>
          <w:szCs w:val="29"/>
        </w:rPr>
        <w:t xml:space="preserve">2 · The one idea that matters most in your role</w:t>
      </w:r>
    </w:p>
    <w:p>
      <w:pPr>
        <w:spacing w:after="120" w:before="0" w:line="276"/>
      </w:pPr>
      <w:r>
        <w:rPr>
          <w:b w:val="false"/>
          <w:bCs w:val="false"/>
          <w:i w:val="false"/>
          <w:iCs w:val="false"/>
          <w:color w:val="1B1A18"/>
          <w:sz w:val="20"/>
          <w:szCs w:val="20"/>
        </w:rPr>
        <w:t xml:space="preserve">A requirement stated as an outcome outlives the technology used to satisfy it. A requirement stated as a mechanism does not.</w:t>
      </w:r>
    </w:p>
    <w:p>
      <w:pPr>
        <w:spacing w:after="120" w:before="0" w:line="276"/>
      </w:pPr>
      <w:r>
        <w:rPr>
          <w:b w:val="false"/>
          <w:bCs w:val="false"/>
          <w:i w:val="false"/>
          <w:iCs w:val="false"/>
          <w:color w:val="1B1A18"/>
          <w:sz w:val="20"/>
          <w:szCs w:val="20"/>
        </w:rPr>
        <w:t xml:space="preserve">This is the whole of the drafting advice, and it has a corollary that is useful in committee: for every recommendation, ask what a practitioner would have to be able to show to demonstrate compliance. If the answer is a document, the recommendation can be satisfied by writing about a system that does not do the thing. If the answer is a demonstration, it cannot.</w:t>
      </w:r>
    </w:p>
    <w:p>
      <w:pPr>
        <w:pStyle w:val="Heading1"/>
        <w:spacing w:after="130" w:before="300"/>
      </w:pPr>
      <w:r>
        <w:rPr>
          <w:b/>
          <w:bCs/>
          <w:color w:val="33302B"/>
          <w:sz w:val="29"/>
          <w:szCs w:val="29"/>
        </w:rPr>
        <w:t xml:space="preserve">What to read, and what to skip</w:t>
      </w:r>
    </w:p>
    <w:p>
      <w:pPr>
        <w:spacing w:after="140" w:line="276"/>
      </w:pPr>
      <w:r>
        <w:rPr>
          <w:i/>
          <w:iCs/>
          <w:color w:val="6E6A62"/>
          <w:sz w:val="20"/>
          <w:szCs w:val="20"/>
        </w:rPr>
        <w:t xml:space="preserve">The book is 23 chapters and you do not need most of them. This is the reading order for your role, with the reason. Anything not listed can be left — that is not modesty, it is that a chapter read without a use is a chapter forgotten.</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1500"/>
        <w:gridCol w:w="2900"/>
        <w:gridCol w:w="5680"/>
      </w:tblGrid>
      <w:tr>
        <w:trPr>
          <w:tblHeader/>
        </w:trPr>
        <w:tc>
          <w:tcPr>
            <w:tcW w:type="dxa" w:w="15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Chapter</w:t>
            </w:r>
          </w:p>
        </w:tc>
        <w:tc>
          <w:tcPr>
            <w:tcW w:type="dxa" w:w="29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Subject</w:t>
            </w:r>
          </w:p>
        </w:tc>
        <w:tc>
          <w:tcPr>
            <w:tcW w:type="dxa" w:w="56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Why it matters to you</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5</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four axioms</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Regulatory determinism against probabilistic behaviour. The one chapter to circulate to a committee before drafting anything: it explains why a "must never" cannot be delegated to a model.</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4</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six properties</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structure of a durable practice note. Six headings that will still be the right headings after the current generation of tools is gone.</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18</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Governance that survives volume</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Why human review degrades into approval. Read before you recommend human review.</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22</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nine-test protocol</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Section 4 below turns it into questions a lawyer with no technical background can put to a client’s CIO. This is the most forwardable thing a committee can publish.</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23</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six custody rules</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sentence per property, technology-free by construction. Close to publishable as principles.</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12 and 15</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Context is not data; memory as a target</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the section on the profession’s own use of AI — section 5 below.</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Skip</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Chapters 2, 6–11, 13, 16–21</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Architecture and strategy. Real content for practitioners advising on deployments, not for guidance drafting.</w:t>
            </w:r>
          </w:p>
        </w:tc>
      </w:tr>
    </w:tbl>
    <w:p>
      <w:pPr>
        <w:spacing w:after="140"/>
      </w:pPr>
    </w:p>
    <w:p>
      <w:pPr>
        <w:pStyle w:val="Heading1"/>
        <w:spacing w:after="130" w:before="300"/>
      </w:pPr>
      <w:r>
        <w:rPr>
          <w:b/>
          <w:bCs/>
          <w:color w:val="33302B"/>
          <w:sz w:val="29"/>
          <w:szCs w:val="29"/>
        </w:rPr>
        <w:t xml:space="preserve">4 · Nine questions for a lawyer with no technical background</w:t>
      </w:r>
    </w:p>
    <w:p>
      <w:pPr>
        <w:spacing w:after="140" w:line="276"/>
      </w:pPr>
      <w:r>
        <w:rPr>
          <w:i/>
          <w:iCs/>
          <w:color w:val="6E6A62"/>
          <w:sz w:val="20"/>
          <w:szCs w:val="20"/>
        </w:rPr>
        <w:t xml:space="preserve">The examination protocol, stripped of framework vocabulary. Written to be lifted into an annex and used by a practitioner in a client meeting. Nothing here requires the reader to have read anything.</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4400"/>
        <w:gridCol w:w="5680"/>
      </w:tblGrid>
      <w:tr>
        <w:trPr>
          <w:tblHeader/>
        </w:trPr>
        <w:tc>
          <w:tcPr>
            <w:tcW w:type="dxa" w:w="4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Ask</w:t>
            </w:r>
          </w:p>
        </w:tc>
        <w:tc>
          <w:tcPr>
            <w:tcW w:type="dxa" w:w="56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Listen for</w:t>
            </w:r>
          </w:p>
        </w:tc>
      </w:tr>
      <w:tr>
        <w:tc>
          <w:tcPr>
            <w:tcW w:type="dxa" w:w="4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Take one real piece of work. Show me it passing from one system to the next, and show me what arrives.</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the conditions attached to a value arrive with it, or only the value.</w:t>
            </w:r>
          </w:p>
        </w:tc>
      </w:tr>
      <w:tr>
        <w:tc>
          <w:tcPr>
            <w:tcW w:type="dxa" w:w="4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Name a rule this system must never break. Where exactly is it enforced?</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specific place all work passes through. If the answer involves instructing the AI, the rule is not enforced.</w:t>
            </w:r>
          </w:p>
        </w:tc>
      </w:tr>
      <w:tr>
        <w:tc>
          <w:tcPr>
            <w:tcW w:type="dxa" w:w="4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If we add a new client, country, or regulator, is that a configuration change or a software release?</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release means every change is a project, and behaviour lives in code nobody in this room can inspect.</w:t>
            </w:r>
          </w:p>
        </w:tc>
      </w:tr>
      <w:tr>
        <w:tc>
          <w:tcPr>
            <w:tcW w:type="dxa" w:w="4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Who is allowed to approve this kind of action, and how would you show me?</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the answer comes from a record that can be queried, or from someone reading the software.</w:t>
            </w:r>
          </w:p>
        </w:tc>
      </w:tr>
      <w:tr>
        <w:tc>
          <w:tcPr>
            <w:tcW w:type="dxa" w:w="4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Pick a transaction from last month. Tell me who did it, under what authority, and which version of the rule applied.</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it takes a query or an investigation. An investigation is the answer.</w:t>
            </w:r>
          </w:p>
        </w:tc>
      </w:tr>
      <w:tr>
        <w:tc>
          <w:tcPr>
            <w:tcW w:type="dxa" w:w="4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Could someone outside the team that runs this system verify that record?</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If verification needs the people who keep the record, it is their account rather than evidence.</w:t>
            </w:r>
          </w:p>
        </w:tc>
      </w:tr>
      <w:tr>
        <w:tc>
          <w:tcPr>
            <w:tcW w:type="dxa" w:w="4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Where did this document come from, and can the system tell that from a document someone uploaded?</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unverified material can influence a decision reserved to trusted material.</w:t>
            </w:r>
          </w:p>
        </w:tc>
      </w:tr>
      <w:tr>
        <w:tc>
          <w:tcPr>
            <w:tcW w:type="dxa" w:w="4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Which outside suppliers must keep working for this to keep working, and what happens if one refuses?</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the list already existed, and whether any single supplier can actually be replaced.</w:t>
            </w:r>
          </w:p>
        </w:tc>
      </w:tr>
      <w:tr>
        <w:tc>
          <w:tcPr>
            <w:tcW w:type="dxa" w:w="4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What does one of these actions cost, and can you show me for last month?</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If cost per action cannot be produced, neither can risk exposure per action.</w:t>
            </w:r>
          </w:p>
        </w:tc>
      </w:tr>
    </w:tbl>
    <w:p>
      <w:pPr>
        <w:pStyle w:val="Heading1"/>
        <w:spacing w:after="130" w:before="300"/>
      </w:pPr>
      <w:r>
        <w:rPr>
          <w:b/>
          <w:bCs/>
          <w:color w:val="33302B"/>
          <w:sz w:val="29"/>
          <w:szCs w:val="29"/>
        </w:rPr>
        <w:t xml:space="preserve">5 · The profession’s own use of AI</w:t>
      </w:r>
    </w:p>
    <w:p>
      <w:pPr>
        <w:spacing w:after="120" w:before="0" w:line="276"/>
      </w:pPr>
      <w:r>
        <w:rPr>
          <w:b w:val="false"/>
          <w:bCs w:val="false"/>
          <w:i w:val="false"/>
          <w:iCs w:val="false"/>
          <w:color w:val="1B1A18"/>
          <w:sz w:val="20"/>
          <w:szCs w:val="20"/>
        </w:rPr>
        <w:t xml:space="preserve">The section committees find hardest to write, and the framework maps onto it directly — a firm using AI has the same custody problem as any other institution, with privilege on top.</w:t>
      </w:r>
    </w:p>
    <w:p>
      <w:pPr>
        <w:pStyle w:val="ListParagraph"/>
        <w:numPr>
          <w:ilvl w:val="0"/>
          <w:numId w:val="2"/>
        </w:numPr>
        <w:spacing w:after="70" w:line="276"/>
      </w:pPr>
      <w:r>
        <w:rPr>
          <w:b/>
          <w:bCs/>
          <w:color w:val="1B1A18"/>
          <w:sz w:val="20"/>
          <w:szCs w:val="20"/>
        </w:rPr>
        <w:t xml:space="preserve">Context. </w:t>
      </w:r>
      <w:r>
        <w:rPr>
          <w:color w:val="1B1A18"/>
          <w:sz w:val="20"/>
          <w:szCs w:val="20"/>
        </w:rPr>
        <w:t xml:space="preserve">Material that arrives at a model without the matter, the jurisdiction, or the conflict position attached will be reasoned about correctly and answered wrongly. The duty of competence attaches to the answer, not to the tool.</w:t>
      </w:r>
    </w:p>
    <w:p>
      <w:pPr>
        <w:pStyle w:val="ListParagraph"/>
        <w:numPr>
          <w:ilvl w:val="0"/>
          <w:numId w:val="2"/>
        </w:numPr>
        <w:spacing w:after="70" w:line="276"/>
      </w:pPr>
      <w:r>
        <w:rPr>
          <w:b/>
          <w:bCs/>
          <w:color w:val="1B1A18"/>
          <w:sz w:val="20"/>
          <w:szCs w:val="20"/>
        </w:rPr>
        <w:t xml:space="preserve">Authority. </w:t>
      </w:r>
      <w:r>
        <w:rPr>
          <w:color w:val="1B1A18"/>
          <w:sz w:val="20"/>
          <w:szCs w:val="20"/>
        </w:rPr>
        <w:t xml:space="preserve">Who in the firm may put privileged material into which system, and is that a record or a convention? Conventions do not survive a lateral hire.</w:t>
      </w:r>
    </w:p>
    <w:p>
      <w:pPr>
        <w:pStyle w:val="ListParagraph"/>
        <w:numPr>
          <w:ilvl w:val="0"/>
          <w:numId w:val="2"/>
        </w:numPr>
        <w:spacing w:after="70" w:line="276"/>
      </w:pPr>
      <w:r>
        <w:rPr>
          <w:b/>
          <w:bCs/>
          <w:color w:val="1B1A18"/>
          <w:sz w:val="20"/>
          <w:szCs w:val="20"/>
        </w:rPr>
        <w:t xml:space="preserve">Accountability. </w:t>
      </w:r>
      <w:r>
        <w:rPr>
          <w:color w:val="1B1A18"/>
          <w:sz w:val="20"/>
          <w:szCs w:val="20"/>
        </w:rPr>
        <w:t xml:space="preserve">If a client asks in two years what informed a piece of advice, can the firm answer? Advice partly generated by a tool nobody logged is advice the firm cannot account for.</w:t>
      </w:r>
    </w:p>
    <w:p>
      <w:pPr>
        <w:pStyle w:val="ListParagraph"/>
        <w:numPr>
          <w:ilvl w:val="0"/>
          <w:numId w:val="2"/>
        </w:numPr>
        <w:spacing w:after="70" w:line="276"/>
      </w:pPr>
      <w:r>
        <w:rPr>
          <w:b/>
          <w:bCs/>
          <w:color w:val="1B1A18"/>
          <w:sz w:val="20"/>
          <w:szCs w:val="20"/>
        </w:rPr>
        <w:t xml:space="preserve">Coordination. </w:t>
      </w:r>
      <w:r>
        <w:rPr>
          <w:color w:val="1B1A18"/>
          <w:sz w:val="20"/>
          <w:szCs w:val="20"/>
        </w:rPr>
        <w:t xml:space="preserve">Two offices using different tools under one policy will reach different answers to the same question. The policy is not the control; the shared constraint is.</w:t>
      </w:r>
    </w:p>
    <w:p>
      <w:pPr>
        <w:pStyle w:val="ListParagraph"/>
        <w:numPr>
          <w:ilvl w:val="0"/>
          <w:numId w:val="2"/>
        </w:numPr>
        <w:spacing w:after="70" w:line="276"/>
      </w:pPr>
      <w:r>
        <w:rPr>
          <w:b/>
          <w:bCs/>
          <w:color w:val="1B1A18"/>
          <w:sz w:val="20"/>
          <w:szCs w:val="20"/>
        </w:rPr>
        <w:t xml:space="preserve">Coherence. </w:t>
      </w:r>
      <w:r>
        <w:rPr>
          <w:color w:val="1B1A18"/>
          <w:sz w:val="20"/>
          <w:szCs w:val="20"/>
        </w:rPr>
        <w:t xml:space="preserve">Confidentiality is a rule admitting no exception, so it needs an enforcement point — not a training module.</w:t>
      </w:r>
    </w:p>
    <w:p>
      <w:pPr>
        <w:pStyle w:val="ListParagraph"/>
        <w:numPr>
          <w:ilvl w:val="0"/>
          <w:numId w:val="2"/>
        </w:numPr>
        <w:spacing w:after="70" w:line="276"/>
      </w:pPr>
      <w:r>
        <w:rPr>
          <w:b/>
          <w:bCs/>
          <w:color w:val="1B1A18"/>
          <w:sz w:val="20"/>
          <w:szCs w:val="20"/>
        </w:rPr>
        <w:t xml:space="preserve">Memory. </w:t>
      </w:r>
      <w:r>
        <w:rPr>
          <w:color w:val="1B1A18"/>
          <w:sz w:val="20"/>
          <w:szCs w:val="20"/>
        </w:rPr>
        <w:t xml:space="preserve">A firm-wide store that anything can write to, queried for research, will eventually answer with something nobody approved. Provenance on write is the control, and it is the one most firms have not built.</w:t>
      </w:r>
    </w:p>
    <w:p>
      <w:pPr>
        <w:spacing w:after="120" w:before="60" w:line="276"/>
      </w:pPr>
      <w:r>
        <w:rPr>
          <w:b w:val="false"/>
          <w:bCs w:val="false"/>
          <w:i w:val="false"/>
          <w:iCs w:val="false"/>
          <w:color w:val="1B1A18"/>
          <w:sz w:val="20"/>
          <w:szCs w:val="20"/>
        </w:rPr>
        <w:t xml:space="preserve">The fabricated-citation cases are the visible tip of this and the least interesting part. The deeper exposure is advice that was competent, confidential, and unrecorded.</w:t>
      </w:r>
    </w:p>
    <w:p>
      <w:pPr>
        <w:pStyle w:val="Heading1"/>
        <w:spacing w:after="130" w:before="300"/>
      </w:pPr>
      <w:r>
        <w:rPr>
          <w:b/>
          <w:bCs/>
          <w:color w:val="33302B"/>
          <w:sz w:val="29"/>
          <w:szCs w:val="29"/>
        </w:rPr>
        <w:t xml:space="preserve">6 · Consultation responses</w:t>
      </w:r>
    </w:p>
    <w:p>
      <w:pPr>
        <w:spacing w:after="120" w:before="0" w:line="276"/>
      </w:pPr>
      <w:r>
        <w:rPr>
          <w:b w:val="false"/>
          <w:bCs w:val="false"/>
          <w:i w:val="false"/>
          <w:iCs w:val="false"/>
          <w:color w:val="1B1A18"/>
          <w:sz w:val="20"/>
          <w:szCs w:val="20"/>
        </w:rPr>
        <w:t xml:space="preserve">The highest-leverage and least-used instrument available to a committee. Short, reactive, and it puts a dated argument into an official file, which is the currency policy work runs on. Four things make an engineer-informed response land where a purely legal one does not.</w:t>
      </w:r>
    </w:p>
    <w:p>
      <w:pPr>
        <w:pStyle w:val="ListParagraph"/>
        <w:numPr>
          <w:ilvl w:val="0"/>
          <w:numId w:val="3"/>
        </w:numPr>
        <w:spacing w:after="70" w:line="276"/>
      </w:pPr>
      <w:r>
        <w:rPr>
          <w:color w:val="1B1A18"/>
          <w:sz w:val="20"/>
          <w:szCs w:val="20"/>
        </w:rPr>
        <w:t xml:space="preserve">Identify a requirement in the draft that cannot be satisfied as written, and say precisely why — not that it is burdensome, but that it is unimplementable. Regulators act on that.</w:t>
      </w:r>
    </w:p>
    <w:p>
      <w:pPr>
        <w:pStyle w:val="ListParagraph"/>
        <w:numPr>
          <w:ilvl w:val="0"/>
          <w:numId w:val="3"/>
        </w:numPr>
        <w:spacing w:after="70" w:line="276"/>
      </w:pPr>
      <w:r>
        <w:rPr>
          <w:color w:val="1B1A18"/>
          <w:sz w:val="20"/>
          <w:szCs w:val="20"/>
        </w:rPr>
        <w:t xml:space="preserve">Say what evidence would exist if the requirement were satisfied. Draftsmen rarely know, and it is the question that decides whether a rule can be supervised.</w:t>
      </w:r>
    </w:p>
    <w:p>
      <w:pPr>
        <w:pStyle w:val="ListParagraph"/>
        <w:numPr>
          <w:ilvl w:val="0"/>
          <w:numId w:val="3"/>
        </w:numPr>
        <w:spacing w:after="70" w:line="276"/>
      </w:pPr>
      <w:r>
        <w:rPr>
          <w:color w:val="1B1A18"/>
          <w:sz w:val="20"/>
          <w:szCs w:val="20"/>
        </w:rPr>
        <w:t xml:space="preserve">Offer alternative wording as an outcome plus a demonstration. A response that only objects is filed; a response that supplies text gets used.</w:t>
      </w:r>
    </w:p>
    <w:p>
      <w:pPr>
        <w:pStyle w:val="ListParagraph"/>
        <w:numPr>
          <w:ilvl w:val="0"/>
          <w:numId w:val="3"/>
        </w:numPr>
        <w:spacing w:after="70" w:line="276"/>
      </w:pPr>
      <w:r>
        <w:rPr>
          <w:color w:val="1B1A18"/>
          <w:sz w:val="20"/>
          <w:szCs w:val="20"/>
        </w:rPr>
        <w:t xml:space="preserve">Keep the framework out of it. The mechanism is the contribution. Vocabulary from a book has no standing in a consultation file and invites the response that this is a vendor submission.</w:t>
      </w:r>
    </w:p>
    <w:p>
      <w:pPr>
        <w:pStyle w:val="Heading1"/>
        <w:spacing w:after="130" w:before="300"/>
      </w:pPr>
      <w:r>
        <w:rPr>
          <w:b/>
          <w:bCs/>
          <w:color w:val="33302B"/>
          <w:sz w:val="29"/>
          <w:szCs w:val="29"/>
        </w:rPr>
        <w:t xml:space="preserve">7 · How to get this wrong</w:t>
      </w:r>
    </w:p>
    <w:p>
      <w:pPr>
        <w:pStyle w:val="ListParagraph"/>
        <w:numPr>
          <w:ilvl w:val="0"/>
          <w:numId w:val="2"/>
        </w:numPr>
        <w:spacing w:after="70" w:line="276"/>
      </w:pPr>
      <w:r>
        <w:rPr>
          <w:b/>
          <w:bCs/>
          <w:color w:val="1B1A18"/>
          <w:sz w:val="20"/>
          <w:szCs w:val="20"/>
        </w:rPr>
        <w:t xml:space="preserve">Adopting the vocabulary. </w:t>
      </w:r>
      <w:r>
        <w:rPr>
          <w:color w:val="1B1A18"/>
          <w:sz w:val="20"/>
          <w:szCs w:val="20"/>
        </w:rPr>
        <w:t xml:space="preserve">Custody, crossings, and seams are one author’s terms. If a concept is useful, rename it in the committee’s own language — it will travel further and it will not look borrowed. The terms are unencumbered precisely so this is possible.</w:t>
      </w:r>
    </w:p>
    <w:p>
      <w:pPr>
        <w:pStyle w:val="ListParagraph"/>
        <w:numPr>
          <w:ilvl w:val="0"/>
          <w:numId w:val="2"/>
        </w:numPr>
        <w:spacing w:after="70" w:line="276"/>
      </w:pPr>
      <w:r>
        <w:rPr>
          <w:b/>
          <w:bCs/>
          <w:color w:val="1B1A18"/>
          <w:sz w:val="20"/>
          <w:szCs w:val="20"/>
        </w:rPr>
        <w:t xml:space="preserve">Publishing a framework. </w:t>
      </w:r>
      <w:r>
        <w:rPr>
          <w:color w:val="1B1A18"/>
          <w:sz w:val="20"/>
          <w:szCs w:val="20"/>
        </w:rPr>
        <w:t xml:space="preserve">The profession has enough. Publish the questions.</w:t>
      </w:r>
    </w:p>
    <w:p>
      <w:pPr>
        <w:pStyle w:val="ListParagraph"/>
        <w:numPr>
          <w:ilvl w:val="0"/>
          <w:numId w:val="2"/>
        </w:numPr>
        <w:spacing w:after="70" w:line="276"/>
      </w:pPr>
      <w:r>
        <w:rPr>
          <w:b/>
          <w:bCs/>
          <w:color w:val="1B1A18"/>
          <w:sz w:val="20"/>
          <w:szCs w:val="20"/>
        </w:rPr>
        <w:t xml:space="preserve">Recommending controls without asking what they would demonstrate. </w:t>
      </w:r>
      <w:r>
        <w:rPr>
          <w:color w:val="1B1A18"/>
          <w:sz w:val="20"/>
          <w:szCs w:val="20"/>
        </w:rPr>
        <w:t xml:space="preserve">Guidance satisfiable by documentation will be satisfied by documentation.</w:t>
      </w:r>
    </w:p>
    <w:p>
      <w:pPr>
        <w:pStyle w:val="ListParagraph"/>
        <w:numPr>
          <w:ilvl w:val="0"/>
          <w:numId w:val="2"/>
        </w:numPr>
        <w:spacing w:after="70" w:line="276"/>
      </w:pPr>
      <w:r>
        <w:rPr>
          <w:b/>
          <w:bCs/>
          <w:color w:val="1B1A18"/>
          <w:sz w:val="20"/>
          <w:szCs w:val="20"/>
        </w:rPr>
        <w:t xml:space="preserve">Legislating by practice note. </w:t>
      </w:r>
      <w:r>
        <w:rPr>
          <w:color w:val="1B1A18"/>
          <w:sz w:val="20"/>
          <w:szCs w:val="20"/>
        </w:rPr>
        <w:t xml:space="preserve">The strongest version of this material describes mechanism and leaves the duty to the law. A committee that overstates the legal consequence hands the regulator a reason to disagree with the whole note.</w:t>
      </w:r>
    </w:p>
    <w:p>
      <w:pPr>
        <w:pStyle w:val="Heading1"/>
        <w:spacing w:after="130" w:before="300"/>
      </w:pPr>
      <w:r>
        <w:rPr>
          <w:b/>
          <w:bCs/>
          <w:color w:val="33302B"/>
          <w:sz w:val="29"/>
          <w:szCs w:val="29"/>
        </w:rPr>
        <w:t xml:space="preserve">8 · Limits</w:t>
      </w:r>
    </w:p>
    <w:p>
      <w:pPr>
        <w:spacing w:after="120" w:before="0" w:line="276"/>
      </w:pPr>
      <w:r>
        <w:rPr>
          <w:b w:val="false"/>
          <w:bCs w:val="false"/>
          <w:i w:val="false"/>
          <w:iCs w:val="false"/>
          <w:color w:val="1B1A18"/>
          <w:sz w:val="20"/>
          <w:szCs w:val="20"/>
        </w:rPr>
        <w:t xml:space="preserve">This material addresses what structures carry across boundaries. It says nothing about model accuracy, bias, dataset quality, or fundamental-rights impact, and it is not a theory of professional obligation in any jurisdiction. It is offered as mechanism for a committee to attach its own doctrine to, and every instrument in it is free to adopt, rewrite, rename, or discard without attribution.</w:t>
      </w:r>
    </w:p>
    <w:p>
      <w:pPr>
        <w:pBdr>
          <w:top w:val="single" w:color="D6D2C9" w:sz="4" w:space="8"/>
        </w:pBdr>
        <w:spacing w:after="100" w:before="360"/>
      </w:pPr>
    </w:p>
    <w:p>
      <w:pPr>
        <w:spacing w:after="60"/>
      </w:pPr>
      <w:r>
        <w:rPr>
          <w:b/>
          <w:bCs/>
          <w:color w:val="33302B"/>
          <w:sz w:val="17"/>
          <w:szCs w:val="17"/>
        </w:rPr>
        <w:t xml:space="preserve">Author’s note</w:t>
      </w:r>
    </w:p>
    <w:p>
      <w:pPr>
        <w:spacing w:after="0" w:line="250"/>
      </w:pPr>
      <w:r>
        <w:rPr>
          <w:color w:val="6E6A62"/>
          <w:sz w:val="17"/>
          <w:szCs w:val="17"/>
        </w:rPr>
        <w:t xml:space="preserve">The content of this document is the author’s. The framework, the six properties, the four axioms, the nine tests and the consequence records are drawn from </w:t>
      </w:r>
      <w:r>
        <w:rPr>
          <w:i/>
          <w:iCs/>
          <w:color w:val="6E6A62"/>
          <w:sz w:val="17"/>
          <w:szCs w:val="17"/>
        </w:rPr>
        <w:t xml:space="preserve">What the Structure Does Not Carry</w:t>
      </w:r>
      <w:r>
        <w:rPr>
          <w:color w:val="6E6A62"/>
          <w:sz w:val="17"/>
          <w:szCs w:val="17"/>
        </w:rPr>
        <w:t xml:space="preserve"> (Georg Zangl, 2026). The document was drafted with the assistance of Claude, an AI assistant made by Anthropic. The author has reviewed it and holds editorial responsibility for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MZ-LAW-004 v1.0  •  practice guidance — not legal advice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MZ-LAW-004 · for bar and law society technology committees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2026-08-18T06:30:51.502Z</dcterms:created>
  <dcterms:modified xsi:type="dcterms:W3CDTF">2026-08-18T06:30:51.502Z</dcterms:modified>
</cp:coreProperties>
</file>

<file path=docProps/custom.xml><?xml version="1.0" encoding="utf-8"?>
<Properties xmlns="http://schemas.openxmlformats.org/officeDocument/2006/custom-properties" xmlns:vt="http://schemas.openxmlformats.org/officeDocument/2006/docPropsVTypes"/>
</file>