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Frontend Q&amp;A Resolution</w:t>
      </w:r>
    </w:p>
    <w:p>
      <w:pPr>
        <w:spacing w:after="60"/>
      </w:pPr>
      <w:r>
        <w:rPr>
          <w:rFonts w:ascii="Arial" w:cs="Arial" w:eastAsia="Arial" w:hAnsi="Arial"/>
          <w:color w:val="2E5FA3"/>
          <w:sz w:val="24"/>
          <w:szCs w:val="24"/>
        </w:rPr>
        <w:t xml:space="preserve">ArchKalinga · Organization → Workspace Refactor</w:t>
      </w:r>
    </w:p>
    <w:p>
      <w:pPr>
        <w:pBdr>
          <w:bottom w:val="single" w:color="2E5FA3" w:sz="8" w:space="4"/>
        </w:pBdr>
        <w:spacing w:after="3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Prepared for the frontend agent  ·  April 2026</w:t>
      </w:r>
    </w:p>
    <w:p>
      <w:pPr>
        <w:spacing w:after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frontend team raised five clarifying questions before beginning the Organization → Workspace migration. This document records each question, the finding from reading the live backend code, and the resolution implemented.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Question 1 — When is workspaceMember available?</w:t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</w:t>
            </w:r>
          </w:p>
        </w:tc>
        <w:tc>
          <w:tcPr>
            <w:tcW w:type="dxa" w:w="8360"/>
            <w:tcBorders>
              <w:top w:val="single" w:color="2E5FA3" w:sz="1"/>
              <w:left w:val="nil" w:color="FFFFFF" w:sz="0"/>
              <w:bottom w:val="single" w:color="2E5FA3" w:sz="1"/>
              <w:right w:val="single" w:color="2E5FA3" w:sz="1"/>
            </w:tcBorders>
            <w:shd w:fill="EB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Is the workspaceMember bundled in the login/signup response, or does the frontend need a separate call to get permissions before the dashboard renders?</w:t>
            </w:r>
          </w:p>
        </w:tc>
      </w:tr>
    </w:tbl>
    <w:p>
      <w:pPr>
        <w:spacing w:after="16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Finding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Reading auth.service.ts confirmed that the login endpoint returned only { accessToken, refreshToken, user } — no workspace context at all. The signup response returned workspaceId and workspaceMemberId (bare IDs only), but not the populated role object with permissions. There was also no WorkspacesController — zero workspace routes existed — so there was no way to fetch membership data after auth.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Resolution</w:t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A" w:sz="1"/>
              <w:left w:val="single" w:color="2E5FA3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1.  Login and validateOTP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responses now include full workspace context:</w:t>
            </w:r>
          </w:p>
          <w:tbl>
            <w:tblPr>
              <w:tblW w:type="dxa" w:w="9360"/>
              <w:tblBorders>
                <w:top w:val="nil" w:color="FFFFFF" w:sz="0"/>
                <w:left w:val="nil" w:color="FFFFFF" w:sz="0"/>
                <w:bottom w:val="nil" w:color="FFFFFF" w:sz="0"/>
                <w:right w:val="nil" w:color="FFFFFF" w:sz="0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1E1E2E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8D3F5"/>
                      <w:sz w:val="18"/>
                      <w:szCs w:val="18"/>
                    </w:rPr>
                    <w:t xml:space="preserve">{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8D3F5"/>
                      <w:sz w:val="18"/>
                      <w:szCs w:val="18"/>
                    </w:rPr>
                    <w:t xml:space="preserve">  "accessToken": "...",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8D3F5"/>
                      <w:sz w:val="18"/>
                      <w:szCs w:val="18"/>
                    </w:rPr>
                    <w:t xml:space="preserve">  "refreshToken": "...",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8D3F5"/>
                      <w:sz w:val="18"/>
                      <w:szCs w:val="18"/>
                    </w:rPr>
                    <w:t xml:space="preserve">  "user": { ...user fields... },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8D3F5"/>
                      <w:sz w:val="18"/>
                      <w:szCs w:val="18"/>
                    </w:rPr>
                    <w:t xml:space="preserve">  "workspaceId": "uuid | null",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8D3F5"/>
                      <w:sz w:val="18"/>
                      <w:szCs w:val="18"/>
                    </w:rPr>
                    <w:t xml:space="preserve">  "workspaceMemberId": "uuid | null",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8D3F5"/>
                      <w:sz w:val="18"/>
                      <w:szCs w:val="18"/>
                    </w:rPr>
                    <w:t xml:space="preserve">  "workspaceMember": {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8D3F5"/>
                      <w:sz w:val="18"/>
                      <w:szCs w:val="18"/>
                    </w:rPr>
                    <w:t xml:space="preserve">    "id": "uuid",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8D3F5"/>
                      <w:sz w:val="18"/>
                      <w:szCs w:val="18"/>
                    </w:rPr>
                    <w:t xml:space="preserve">    "workspaceId": "uuid",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8D3F5"/>
                      <w:sz w:val="18"/>
                      <w:szCs w:val="18"/>
                    </w:rPr>
                    <w:t xml:space="preserve">    "status": "ACTIVE",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8D3F5"/>
                      <w:sz w:val="18"/>
                      <w:szCs w:val="18"/>
                    </w:rPr>
                    <w:t xml:space="preserve">    "workspace": { "id", "name", "slug", "description" },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8D3F5"/>
                      <w:sz w:val="18"/>
                      <w:szCs w:val="18"/>
                    </w:rPr>
                    <w:t xml:space="preserve">    "workspaceRole": { "id", "name", "slug", "isSystem", "permissions" }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8D3F5"/>
                      <w:sz w:val="18"/>
                      <w:szCs w:val="18"/>
                    </w:rPr>
                    <w:t xml:space="preserve">  }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8D3F5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>
            <w:pPr>
              <w:spacing w:after="120"/>
            </w:pPr>
          </w:p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2.  New endpoint </w:t>
            </w:r>
            <w:r>
              <w:rPr>
                <w:rFonts w:ascii="Courier New" w:cs="Courier New" w:eastAsia="Courier New" w:hAnsi="Courier New"/>
                <w:color w:val="2E5FA3"/>
                <w:sz w:val="21"/>
                <w:szCs w:val="21"/>
              </w:rPr>
              <w:t xml:space="preserve">GET /workspaces/:workspaceId/membership/me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  —  JWT only, no X-Workspace-Id header required. Use this when switching workspaces to reload the permission context.</w:t>
            </w:r>
          </w:p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3.  Signup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response updated to also include the full workspaceMember object (previously only returned bare IDs).</w:t>
            </w:r>
          </w:p>
        </w:tc>
      </w:tr>
    </w:tbl>
    <w:p>
      <w:pPr>
        <w:spacing w:after="2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Question 2 — Multi-workspace: in scope now or deferred?</w:t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Q2</w:t>
            </w:r>
          </w:p>
        </w:tc>
        <w:tc>
          <w:tcPr>
            <w:tcW w:type="dxa" w:w="8360"/>
            <w:tcBorders>
              <w:top w:val="single" w:color="2E5FA3" w:sz="1"/>
              <w:left w:val="nil" w:color="FFFFFF" w:sz="0"/>
              <w:bottom w:val="single" w:color="2E5FA3" w:sz="1"/>
              <w:right w:val="single" w:color="2E5FA3" w:sz="1"/>
            </w:tcBorders>
            <w:shd w:fill="EB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Does this migration require a workspace switcher and a new Redux slice, or just storing a single workspaceId?</w:t>
            </w:r>
          </w:p>
        </w:tc>
      </w:tr>
    </w:tbl>
    <w:p>
      <w:pPr>
        <w:spacing w:after="16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Finding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backend WorkspacesService had a getMemberWorkspaces() method but it was not exposed via any controller. Login returned no workspaceId, so the architecture was not yet ready for multi-workspace UX.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Resolution</w:t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A" w:sz="1"/>
              <w:left w:val="single" w:color="2E5FA3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Deferred — store a single workspaceId for now.</w:t>
            </w:r>
          </w:p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The backend is architecturally ready: GET /workspaces/me (new endpoint) lists all active workspace memberships with roles and permissions. But the frontend migration only needs to store the workspaceId returned by login and use it as the X-Workspace-Id header. No workspace switcher component or new Redux slice is required in this pass.</w:t>
            </w:r>
          </w:p>
          <w:tbl>
            <w:tblPr>
              <w:tblW w:type="dxa" w:w="8900"/>
              <w:tblBorders>
                <w:top w:val="nil" w:color="FFFFFF" w:sz="0"/>
                <w:left w:val="nil" w:color="FFFFFF" w:sz="0"/>
                <w:bottom w:val="nil" w:color="FFFFFF" w:sz="0"/>
                <w:right w:val="nil" w:color="FFFFFF" w:sz="0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6300"/>
            </w:tblGrid>
            <w:tr>
              <w:tc>
                <w:tcPr>
                  <w:tcW w:type="dxa" w:w="260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5F5F5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20"/>
                      <w:szCs w:val="20"/>
                    </w:rPr>
                    <w:t xml:space="preserve">This migration</w:t>
                  </w:r>
                </w:p>
              </w:tc>
              <w:tc>
                <w:tcPr>
                  <w:tcW w:type="dxa" w:w="676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EBF0F8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5FA3"/>
                      <w:sz w:val="20"/>
                      <w:szCs w:val="20"/>
                    </w:rPr>
                    <w:t xml:space="preserve">Store single workspaceId — no switcher needed</w:t>
                  </w:r>
                </w:p>
              </w:tc>
            </w:tr>
            <w:tr>
              <w:tc>
                <w:tcPr>
                  <w:tcW w:type="dxa" w:w="260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F5F5F5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20"/>
                      <w:szCs w:val="20"/>
                    </w:rPr>
                    <w:t xml:space="preserve">Future sprint</w:t>
                  </w:r>
                </w:p>
              </w:tc>
              <w:tc>
                <w:tcPr>
                  <w:tcW w:type="dxa" w:w="6760"/>
                  <w:tcBorders>
                    <w:top w:val="single" w:color="E0E0E0" w:sz="1"/>
                    <w:left w:val="single" w:color="E0E0E0" w:sz="1"/>
                    <w:bottom w:val="single" w:color="E0E0E0" w:sz="1"/>
                    <w:right w:val="single" w:color="E0E0E0" w:sz="1"/>
                  </w:tcBorders>
                  <w:shd w:fill="E8F5EE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B6B3A"/>
                      <w:sz w:val="20"/>
                      <w:szCs w:val="20"/>
                    </w:rPr>
                    <w:t xml:space="preserve">Use GET /workspaces/me to build switcher UI</w:t>
                  </w:r>
                </w:p>
              </w:tc>
            </w:tr>
          </w:tbl>
          <w:p/>
        </w:tc>
      </w:tr>
    </w:tbl>
    <w:p>
      <w:pPr>
        <w:spacing w:after="2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Question 3 — What is applyCentreDeVoteScope?</w:t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Q3</w:t>
            </w:r>
          </w:p>
        </w:tc>
        <w:tc>
          <w:tcPr>
            <w:tcW w:type="dxa" w:w="8360"/>
            <w:tcBorders>
              <w:top w:val="single" w:color="2E5FA3" w:sz="1"/>
              <w:left w:val="nil" w:color="FFFFFF" w:sz="0"/>
              <w:bottom w:val="single" w:color="2E5FA3" w:sz="1"/>
              <w:right w:val="single" w:color="2E5FA3" w:sz="1"/>
            </w:tcBorders>
            <w:shd w:fill="EB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 method called applyCentreDeVoteScope was mentioned — is it a backend scoping mechanism that requires frontend changes?</w:t>
            </w:r>
          </w:p>
        </w:tc>
      </w:tr>
    </w:tbl>
    <w:p>
      <w:pPr>
        <w:spacing w:after="16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Finding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A full search of the codebase found no file, method, comment, or identifier matching that name. It does not exist in the ArchKalinga backend.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Resolution</w:t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A" w:sz="1"/>
              <w:left w:val="single" w:color="2E5FA3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No action required.</w:t>
            </w:r>
          </w:p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The term was a phantom reference — likely a hallucination or confusion with a different project. The only workspace scoping mechanism in this backend is the X-Workspace-Id request header read by WorkspaceGuard. No additional frontend request changes are needed beyond sending that header.</w:t>
            </w:r>
          </w:p>
        </w:tc>
      </w:tr>
    </w:tbl>
    <w:p>
      <w:pPr>
        <w:spacing w:after="2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Question 4 — How does the invite flow interact with workspace membership?</w:t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Q4</w:t>
            </w:r>
          </w:p>
        </w:tc>
        <w:tc>
          <w:tcPr>
            <w:tcW w:type="dxa" w:w="8360"/>
            <w:tcBorders>
              <w:top w:val="single" w:color="2E5FA3" w:sz="1"/>
              <w:left w:val="nil" w:color="FFFFFF" w:sz="0"/>
              <w:bottom w:val="single" w:color="2E5FA3" w:sz="1"/>
              <w:right w:val="single" w:color="2E5FA3" w:sz="1"/>
            </w:tcBorders>
            <w:shd w:fill="EB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Does accepting an invite add a workspace to the user's membership list, or does it only affect project membership?</w:t>
            </w:r>
          </w:p>
        </w:tc>
      </w:tr>
    </w:tbl>
    <w:p>
      <w:pPr>
        <w:spacing w:after="16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Finding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Reading project-invites.service.ts confirmed that the invite system is entirely project-level. Accepting an invite creates or reactivates a ProjectMembership record — completely separate from WorkspaceMember. The accept endpoint (POST /project-invites/accept?token=...) is unauthenticated. If the invitee has no account, it returns 400 INVITEE_ACCOUNT_NOT_FOUND.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Resolution</w:t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A" w:sz="1"/>
              <w:left w:val="single" w:color="2E5FA3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No backend changes needed. Frontend flow:</w:t>
            </w:r>
          </w:p>
          <w:tbl>
            <w:tblPr>
              <w:tblW w:type="dxa" w:w="8900"/>
              <w:tblBorders>
                <w:top w:val="nil" w:color="FFFFFF" w:sz="0"/>
                <w:left w:val="nil" w:color="FFFFFF" w:sz="0"/>
                <w:bottom w:val="nil" w:color="FFFFFF" w:sz="0"/>
                <w:right w:val="nil" w:color="FFFFFF" w:sz="0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8500"/>
            </w:tblGrid>
            <w:tr>
              <w:tc>
                <w:tcPr>
                  <w:tcW w:type="dxa" w:w="400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5FA3"/>
                      <w:sz w:val="20"/>
                      <w:szCs w:val="20"/>
                    </w:rPr>
                    <w:t xml:space="preserve">1.</w:t>
                  </w:r>
                </w:p>
              </w:tc>
              <w:tc>
                <w:tcPr>
                  <w:tcW w:type="dxa" w:w="8500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spacing w:after="1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20"/>
                      <w:szCs w:val="20"/>
                    </w:rPr>
                    <w:t xml:space="preserve">POST /project-invites/accept?token=&lt;token&gt;  (no auth required, no X-Workspace-Id needed).</w:t>
                  </w:r>
                </w:p>
              </w:tc>
            </w:tr>
            <w:tr>
              <w:tc>
                <w:tcPr>
                  <w:tcW w:type="dxa" w:w="400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5FA3"/>
                      <w:sz w:val="20"/>
                      <w:szCs w:val="20"/>
                    </w:rPr>
                    <w:t xml:space="preserve">2.</w:t>
                  </w:r>
                </w:p>
              </w:tc>
              <w:tc>
                <w:tcPr>
                  <w:tcW w:type="dxa" w:w="8500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spacing w:after="1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20"/>
                      <w:szCs w:val="20"/>
                    </w:rPr>
                    <w:t xml:space="preserve">If 400 INVITEE_ACCOUNT_NOT_FOUND → route user to signup/login, then retry the accept call.</w:t>
                  </w:r>
                </w:p>
              </w:tc>
            </w:tr>
            <w:tr>
              <w:tc>
                <w:tcPr>
                  <w:tcW w:type="dxa" w:w="400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2E5FA3"/>
                      <w:sz w:val="20"/>
                      <w:szCs w:val="20"/>
                    </w:rPr>
                    <w:t xml:space="preserve">3.</w:t>
                  </w:r>
                </w:p>
              </w:tc>
              <w:tc>
                <w:tcPr>
                  <w:tcW w:type="dxa" w:w="8500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spacing w:after="12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20"/>
                      <w:szCs w:val="20"/>
                    </w:rPr>
                    <w:t xml:space="preserve">On success, use projectId (and taskId/subtaskId if present) to deep-link into the project. Workspace context does not change.</w:t>
                  </w:r>
                </w:p>
              </w:tc>
            </w:tr>
          </w:tbl>
          <w:p/>
        </w:tc>
      </w:tr>
    </w:tbl>
    <w:p>
      <w:pPr>
        <w:spacing w:after="24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Question 5 — What HTTP client is the app using?</w:t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Q5</w:t>
            </w:r>
          </w:p>
        </w:tc>
        <w:tc>
          <w:tcPr>
            <w:tcW w:type="dxa" w:w="8360"/>
            <w:tcBorders>
              <w:top w:val="single" w:color="2E5FA3" w:sz="1"/>
              <w:left w:val="nil" w:color="FFFFFF" w:sz="0"/>
              <w:bottom w:val="single" w:color="2E5FA3" w:sz="1"/>
              <w:right w:val="single" w:color="2E5FA3" w:sz="1"/>
            </w:tcBorders>
            <w:shd w:fill="EB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The codebase uses RTK thunks with mock data — is there a centralized HTTP client to add interceptors to?</w:t>
            </w:r>
          </w:p>
        </w:tc>
      </w:tr>
    </w:tbl>
    <w:p>
      <w:pPr>
        <w:spacing w:after="16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Finding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This is a frontend concern not visible from the backend. The backend imposes no constraint on which HTTP client is used — it only requires that two headers arrive on every workspace-scoped request.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Resolution</w:t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A" w:sz="1"/>
              <w:left w:val="single" w:color="2E5FA3" w:sz="1"/>
              <w:bottom w:val="single" w:color="C5D5EA" w:sz="1"/>
              <w:right w:val="single" w:color="C5D5EA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1"/>
                <w:szCs w:val="21"/>
              </w:rPr>
              <w:t xml:space="preserve">Create a centralized Axios instance (or fetch wrapper) as the first task of the migration.</w:t>
            </w:r>
          </w:p>
          <w:p>
            <w:pPr>
              <w:spacing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Configure both headers in a single interceptor:</w:t>
            </w:r>
          </w:p>
          <w:tbl>
            <w:tblPr>
              <w:tblW w:type="dxa" w:w="9360"/>
              <w:tblBorders>
                <w:top w:val="nil" w:color="FFFFFF" w:sz="0"/>
                <w:left w:val="nil" w:color="FFFFFF" w:sz="0"/>
                <w:bottom w:val="nil" w:color="FFFFFF" w:sz="0"/>
                <w:right w:val="nil" w:color="FFFFFF" w:sz="0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1E1E2E" w:val="clear"/>
                  <w:tcMar>
                    <w:top w:type="dxa" w:w="80"/>
                    <w:left w:type="dxa" w:w="180"/>
                    <w:bottom w:type="dxa" w:w="80"/>
                    <w:right w:type="dxa" w:w="180"/>
                  </w:tcMar>
                </w:tcPr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8D3F5"/>
                      <w:sz w:val="18"/>
                      <w:szCs w:val="18"/>
                    </w:rPr>
                    <w:t xml:space="preserve">axios.interceptors.request.use(config =&gt; {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8D3F5"/>
                      <w:sz w:val="18"/>
                      <w:szCs w:val="18"/>
                    </w:rPr>
                    <w:t xml:space="preserve">  const token       = store.getState().auth.accessToken;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8D3F5"/>
                      <w:sz w:val="18"/>
                      <w:szCs w:val="18"/>
                    </w:rPr>
                    <w:t xml:space="preserve">  const workspaceId = store.getState().auth.workspaceId;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8D3F5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8D3F5"/>
                      <w:sz w:val="18"/>
                      <w:szCs w:val="18"/>
                    </w:rPr>
                    <w:t xml:space="preserve">  if (token)       config.headers.Authorization   = `Bearer ${token}`;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8D3F5"/>
                      <w:sz w:val="18"/>
                      <w:szCs w:val="18"/>
                    </w:rPr>
                    <w:t xml:space="preserve">  if (workspaceId) config.headers["X-Workspace-Id"] = workspaceId;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8D3F5"/>
                      <w:sz w:val="18"/>
                      <w:szCs w:val="18"/>
                    </w:rPr>
                    <w:t xml:space="preserve"/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8D3F5"/>
                      <w:sz w:val="18"/>
                      <w:szCs w:val="18"/>
                    </w:rPr>
                    <w:t xml:space="preserve">  return config;</w:t>
                  </w:r>
                </w:p>
                <w:p>
                  <w:pPr>
                    <w:spacing w:after="0"/>
                  </w:pPr>
                  <w:r>
                    <w:rPr>
                      <w:rFonts w:ascii="Courier New" w:cs="Courier New" w:eastAsia="Courier New" w:hAnsi="Courier New"/>
                      <w:color w:val="C8D3F5"/>
                      <w:sz w:val="18"/>
                      <w:szCs w:val="18"/>
                    </w:rPr>
                    <w:t xml:space="preserve">});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spacing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1"/>
                <w:szCs w:val="21"/>
              </w:rPr>
              <w:t xml:space="preserve">Creating this shared client is a prerequisite for the entire migration — all RTK thunks should be ported through it. The backend does not care which client is used.</w:t>
            </w:r>
          </w:p>
        </w:tc>
      </w:tr>
    </w:tbl>
    <w:p>
      <w:pPr>
        <w:spacing w:after="2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100"/>
        <w:gridCol w:w="5760"/>
      </w:tblGrid>
      <w:tr>
        <w:trPr>
          <w:tblHeader/>
        </w:trPr>
        <w:tc>
          <w:tcPr>
            <w:tcW w:type="dxa" w:w="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Q1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workspaceMember availability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Added to login/validateOTP/signup responses + new GET /workspaces/:id/membership/me endpoint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Q2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Multi-workspace scope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Deferred — store single workspaceId, GET /workspaces/me ready for future switcher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Q3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applyCentreDeVoteScope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Does not exist — phantom reference, no action needed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Q4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Invite flow + workspace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Project-level only — no workspace membership changes on accept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9"/>
                <w:szCs w:val="19"/>
              </w:rPr>
              <w:t xml:space="preserve">Q5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HTTP client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Create centralized Axios instance with dual-header interceptor as first migration task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5EA" w:sz="6" w:space="1"/>
      </w:pBdr>
      <w:spacing w:before="8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1"/>
      </w:pBdr>
      <w:tabs>
        <w:tab w:val="right" w:pos="7920"/>
      </w:tabs>
      <w:spacing w:after="120"/>
    </w:pPr>
    <w:r>
      <w:rPr>
        <w:rFonts w:ascii="Arial" w:cs="Arial" w:eastAsia="Arial" w:hAnsi="Arial"/>
        <w:color w:val="555555"/>
        <w:sz w:val="18"/>
        <w:szCs w:val="18"/>
      </w:rPr>
      <w:t xml:space="preserve">ArchKalinga Backend — Workspace Migration</w:t>
    </w:r>
    <w:r>
      <w:rPr>
        <w:rFonts w:ascii="Arial" w:cs="Arial" w:eastAsia="Arial" w:hAnsi="Arial"/>
        <w:color w:val="2E5FA3"/>
        <w:sz w:val="18"/>
        <w:szCs w:val="18"/>
      </w:rPr>
      <w:t xml:space="preserve">	Frontend Q&amp;A Resolution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2026-04-14T22:38:54.728Z</dcterms:created>
  <dcterms:modified xsi:type="dcterms:W3CDTF">2026-04-14T22:38:54.729Z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