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80"/>
        <w:jc w:val="left"/>
      </w:pPr>
      <w:r>
        <w:rPr>
          <w:rFonts w:ascii="Arial" w:cs="Arial" w:eastAsia="Arial" w:hAnsi="Arial"/>
          <w:b/>
          <w:bCs/>
          <w:color w:val="1A5276"/>
          <w:sz w:val="52"/>
          <w:szCs w:val="52"/>
        </w:rPr>
        <w:t xml:space="preserve">KINDORA</w:t>
      </w:r>
    </w:p>
    <w:p>
      <w:pPr>
        <w:pBdr>
          <w:bottom w:val="single" w:color="2E86C1" w:sz="8" w:space="1"/>
        </w:pBdr>
        <w:spacing w:before="0" w:after="80"/>
        <w:jc w:val="left"/>
      </w:pPr>
      <w:r>
        <w:rPr>
          <w:rFonts w:ascii="Arial" w:cs="Arial" w:eastAsia="Arial" w:hAnsi="Arial"/>
          <w:color w:val="2E86C1"/>
          <w:sz w:val="28"/>
          <w:szCs w:val="28"/>
        </w:rPr>
        <w:t xml:space="preserve">Daycare &amp; School Management Platform</w:t>
      </w:r>
    </w:p>
    <w:p>
      <w:pPr>
        <w:spacing w:before="240" w:after="0"/>
      </w:pPr>
    </w:p>
    <w:p>
      <w:pPr>
        <w:spacing w:before="0" w:after="120"/>
        <w:jc w:val="left"/>
      </w:pPr>
      <w:r>
        <w:rPr>
          <w:rFonts w:ascii="Arial" w:cs="Arial" w:eastAsia="Arial" w:hAnsi="Arial"/>
          <w:b/>
          <w:bCs/>
          <w:color w:val="000000"/>
          <w:sz w:val="40"/>
          <w:szCs w:val="40"/>
        </w:rPr>
        <w:t xml:space="preserve">User Management — Production Readiness Assessment</w:t>
      </w:r>
    </w:p>
    <w:p>
      <w:pPr>
        <w:spacing w:before="0" w:after="80"/>
        <w:jc w:val="left"/>
      </w:pPr>
      <w:r>
        <w:rPr>
          <w:rFonts w:ascii="Arial" w:cs="Arial" w:eastAsia="Arial" w:hAnsi="Arial"/>
          <w:i/>
          <w:iCs/>
          <w:color w:val="566573"/>
          <w:sz w:val="26"/>
          <w:szCs w:val="26"/>
        </w:rPr>
        <w:t xml:space="preserve">Authentication · Authorisation · Security</w:t>
      </w:r>
    </w:p>
    <w:p>
      <w:pPr>
        <w:spacing w:before="6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66573"/>
                <w:sz w:val="20"/>
                <w:szCs w:val="20"/>
              </w:rPr>
              <w:t xml:space="preserve">Date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00000"/>
                <w:sz w:val="20"/>
                <w:szCs w:val="20"/>
              </w:rPr>
              <w:t xml:space="preserve">February 2026</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66573"/>
                <w:sz w:val="20"/>
                <w:szCs w:val="20"/>
              </w:rPr>
              <w:t xml:space="preserve">Version</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00000"/>
                <w:sz w:val="20"/>
                <w:szCs w:val="20"/>
              </w:rPr>
              <w:t xml:space="preserve">1.0 — Pre-launch review</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66573"/>
                <w:sz w:val="20"/>
                <w:szCs w:val="20"/>
              </w:rPr>
              <w:t xml:space="preserve">Stack</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00000"/>
                <w:sz w:val="20"/>
                <w:szCs w:val="20"/>
              </w:rPr>
              <w:t xml:space="preserve">NestJS · TypeORM · PostgreSQL · JWT</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66573"/>
                <w:sz w:val="20"/>
                <w:szCs w:val="20"/>
              </w:rPr>
              <w:t xml:space="preserve">Classification</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00000"/>
                <w:sz w:val="20"/>
                <w:szCs w:val="20"/>
              </w:rPr>
              <w:t xml:space="preserve">Internal — Engineering</w:t>
            </w:r>
          </w:p>
        </w:tc>
      </w:tr>
    </w:tbl>
    <w:p>
      <w:r>
        <w:br w:type="page"/>
      </w:r>
    </w:p>
    <w:p>
      <w:pPr>
        <w:pStyle w:val="Heading1"/>
        <w:spacing w:before="0" w:after="160"/>
      </w:pPr>
      <w:r>
        <w:rPr>
          <w:rFonts w:ascii="Arial" w:cs="Arial" w:eastAsia="Arial" w:hAnsi="Arial"/>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Arial" w:cs="Arial" w:eastAsia="Arial" w:hAnsi="Arial"/>
          <w:b/>
          <w:bCs/>
          <w:color w:val="1A5276"/>
          <w:sz w:val="32"/>
          <w:szCs w:val="32"/>
        </w:rPr>
        <w:t xml:space="preserve">1. Executive Summary</w:t>
      </w:r>
    </w:p>
    <w:p>
      <w:pPr>
        <w:pBdr>
          <w:bottom w:val="single" w:color="2E86C1" w:sz="4" w:space="1"/>
        </w:pBdr>
        <w:spacing w:before="120" w:after="120"/>
      </w:pPr>
    </w:p>
    <w:p>
      <w:pPr>
        <w:spacing w:before="0" w:after="160"/>
      </w:pPr>
      <w:r>
        <w:rPr>
          <w:rFonts w:ascii="Arial" w:cs="Arial" w:eastAsia="Arial" w:hAnsi="Arial"/>
          <w:sz w:val="24"/>
          <w:szCs w:val="24"/>
        </w:rPr>
        <w:t xml:space="preserve">Kindora's user management system has a </w:t>
      </w:r>
      <w:r>
        <w:rPr>
          <w:rFonts w:ascii="Arial" w:cs="Arial" w:eastAsia="Arial" w:hAnsi="Arial"/>
          <w:b/>
          <w:bCs/>
          <w:sz w:val="24"/>
          <w:szCs w:val="24"/>
        </w:rPr>
        <w:t xml:space="preserve">sound architectural foundation</w:t>
      </w:r>
      <w:r>
        <w:rPr>
          <w:rFonts w:ascii="Arial" w:cs="Arial" w:eastAsia="Arial" w:hAnsi="Arial"/>
          <w:sz w:val="24"/>
          <w:szCs w:val="24"/>
        </w:rPr>
        <w:t xml:space="preserve"> — multi-tenant role-based authorisation, structured audit logging, and a dual-token authentication model. However, several </w:t>
      </w:r>
      <w:r>
        <w:rPr>
          <w:rFonts w:ascii="Arial" w:cs="Arial" w:eastAsia="Arial" w:hAnsi="Arial"/>
          <w:b/>
          <w:bCs/>
          <w:color w:val="C0392B"/>
          <w:sz w:val="24"/>
          <w:szCs w:val="24"/>
        </w:rPr>
        <w:t xml:space="preserve">critical security gaps</w:t>
      </w:r>
      <w:r>
        <w:rPr>
          <w:rFonts w:ascii="Arial" w:cs="Arial" w:eastAsia="Arial" w:hAnsi="Arial"/>
          <w:sz w:val="24"/>
          <w:szCs w:val="24"/>
        </w:rPr>
        <w:t xml:space="preserve"> remain that would be flagged immediately in a professional penetration test or SOC 2 audit. This document assesses the current state against global standards (OWASP ASVS Level 2, NIST SP 800-63B, and common SaaS security benchmarks) and provides a phased execution plan to reach production readiness.</w:t>
      </w:r>
    </w:p>
    <w:p>
      <w:pPr>
        <w:spacing w:before="80" w:after="0"/>
      </w:pPr>
    </w:p>
    <w:p>
      <w:pPr>
        <w:spacing w:before="0" w:after="160"/>
      </w:pPr>
      <w:r>
        <w:rPr>
          <w:rFonts w:ascii="Arial" w:cs="Arial" w:eastAsia="Arial" w:hAnsi="Arial"/>
          <w:b/>
          <w:bCs/>
          <w:sz w:val="24"/>
          <w:szCs w:val="24"/>
        </w:rPr>
        <w:t xml:space="preserve">Current overall readiness: </w:t>
      </w:r>
      <w:r>
        <w:rPr>
          <w:rFonts w:ascii="Arial" w:cs="Arial" w:eastAsia="Arial" w:hAnsi="Arial"/>
          <w:b/>
          <w:bCs/>
          <w:color w:val="B7770D"/>
          <w:sz w:val="24"/>
          <w:szCs w:val="24"/>
        </w:rPr>
        <w:t xml:space="preserve">65 / 100</w:t>
      </w:r>
      <w:r>
        <w:rPr>
          <w:rFonts w:ascii="Arial" w:cs="Arial" w:eastAsia="Arial" w:hAnsi="Arial"/>
          <w:sz w:val="24"/>
          <w:szCs w:val="24"/>
        </w:rPr>
        <w:t xml:space="preserve"> — Conditionally deployable for internal pilots; not yet suitable for a public launch or any data-processing compliance regime without completing Phase A and Phase B of the plan below.</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1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Security Area</w:t>
            </w:r>
          </w:p>
        </w:tc>
        <w:tc>
          <w:tcPr>
            <w:tcW w:type="dxa" w:w="21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Score</w:t>
            </w:r>
          </w:p>
        </w:tc>
        <w:tc>
          <w:tcPr>
            <w:tcW w:type="dxa" w:w="21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Status</w:t>
            </w:r>
          </w:p>
        </w:tc>
      </w:tr>
      <w:tr>
        <w:tc>
          <w:tcPr>
            <w:tcW w:type="dxa" w:w="516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Authentication (login, tokens, OTP)</w:t>
            </w:r>
          </w:p>
        </w:tc>
        <w:tc>
          <w:tcPr>
            <w:tcW w:type="dxa" w:w="21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78 / 100</w:t>
            </w:r>
          </w:p>
        </w:tc>
        <w:tc>
          <w:tcPr>
            <w:tcW w:type="dxa" w:w="21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Good — minor gaps</w:t>
            </w:r>
          </w:p>
        </w:tc>
      </w:tr>
      <w:tr>
        <w:tc>
          <w:tcPr>
            <w:tcW w:type="dxa" w:w="516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Authorisation (RBAC, permissions)</w:t>
            </w:r>
          </w:p>
        </w:tc>
        <w:tc>
          <w:tcPr>
            <w:tcW w:type="dxa" w:w="21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82 / 100</w:t>
            </w:r>
          </w:p>
        </w:tc>
        <w:tc>
          <w:tcPr>
            <w:tcW w:type="dxa" w:w="21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Strong</w:t>
            </w:r>
          </w:p>
        </w:tc>
      </w:tr>
      <w:tr>
        <w:tc>
          <w:tcPr>
            <w:tcW w:type="dxa" w:w="51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Session Management</w:t>
            </w:r>
          </w:p>
        </w:tc>
        <w:tc>
          <w:tcPr>
            <w:tcW w:type="dxa" w:w="21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55 / 100</w:t>
            </w:r>
          </w:p>
        </w:tc>
        <w:tc>
          <w:tcPr>
            <w:tcW w:type="dxa" w:w="21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Needs work</w:t>
            </w:r>
          </w:p>
        </w:tc>
      </w:tr>
      <w:tr>
        <w:tc>
          <w:tcPr>
            <w:tcW w:type="dxa" w:w="51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Account Security (lockout, lockout comms)</w:t>
            </w:r>
          </w:p>
        </w:tc>
        <w:tc>
          <w:tcPr>
            <w:tcW w:type="dxa" w:w="21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70 / 100</w:t>
            </w:r>
          </w:p>
        </w:tc>
        <w:tc>
          <w:tcPr>
            <w:tcW w:type="dxa" w:w="21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Adequate</w:t>
            </w:r>
          </w:p>
        </w:tc>
      </w:tr>
      <w:tr>
        <w:tc>
          <w:tcPr>
            <w:tcW w:type="dxa" w:w="516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HTTP &amp; Transport Security</w:t>
            </w:r>
          </w:p>
        </w:tc>
        <w:tc>
          <w:tcPr>
            <w:tcW w:type="dxa" w:w="21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30 / 100</w:t>
            </w:r>
          </w:p>
        </w:tc>
        <w:tc>
          <w:tcPr>
            <w:tcW w:type="dxa" w:w="21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Critical gap</w:t>
            </w:r>
          </w:p>
        </w:tc>
      </w:tr>
      <w:tr>
        <w:tc>
          <w:tcPr>
            <w:tcW w:type="dxa" w:w="51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MFA (2FA depth &amp; resilience)</w:t>
            </w:r>
          </w:p>
        </w:tc>
        <w:tc>
          <w:tcPr>
            <w:tcW w:type="dxa" w:w="21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45 / 100</w:t>
            </w:r>
          </w:p>
        </w:tc>
        <w:tc>
          <w:tcPr>
            <w:tcW w:type="dxa" w:w="21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Incomplete</w:t>
            </w:r>
          </w:p>
        </w:tc>
      </w:tr>
      <w:tr>
        <w:tc>
          <w:tcPr>
            <w:tcW w:type="dxa" w:w="51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Password Policy</w:t>
            </w:r>
          </w:p>
        </w:tc>
        <w:tc>
          <w:tcPr>
            <w:tcW w:type="dxa" w:w="21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40 / 100</w:t>
            </w:r>
          </w:p>
        </w:tc>
        <w:tc>
          <w:tcPr>
            <w:tcW w:type="dxa" w:w="21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Incomplete</w:t>
            </w:r>
          </w:p>
        </w:tc>
      </w:tr>
      <w:tr>
        <w:tc>
          <w:tcPr>
            <w:tcW w:type="dxa" w:w="516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Audit &amp; Observability</w:t>
            </w:r>
          </w:p>
        </w:tc>
        <w:tc>
          <w:tcPr>
            <w:tcW w:type="dxa" w:w="21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80 / 100</w:t>
            </w:r>
          </w:p>
        </w:tc>
        <w:tc>
          <w:tcPr>
            <w:tcW w:type="dxa" w:w="21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Strong</w:t>
            </w:r>
          </w:p>
        </w:tc>
      </w:tr>
      <w:tr>
        <w:tc>
          <w:tcPr>
            <w:tcW w:type="dxa" w:w="516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Compliance Readiness (GDPR, SOC2)</w:t>
            </w:r>
          </w:p>
        </w:tc>
        <w:tc>
          <w:tcPr>
            <w:tcW w:type="dxa" w:w="21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35 / 100</w:t>
            </w:r>
          </w:p>
        </w:tc>
        <w:tc>
          <w:tcPr>
            <w:tcW w:type="dxa" w:w="21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Not ready</w:t>
            </w:r>
          </w:p>
        </w:tc>
      </w:tr>
    </w:tbl>
    <w:p>
      <w:r>
        <w:br w:type="page"/>
      </w:r>
    </w:p>
    <w:p>
      <w:pPr>
        <w:pStyle w:val="Heading1"/>
        <w:spacing w:before="360" w:after="160"/>
      </w:pPr>
      <w:r>
        <w:rPr>
          <w:rFonts w:ascii="Arial" w:cs="Arial" w:eastAsia="Arial" w:hAnsi="Arial"/>
          <w:b/>
          <w:bCs/>
          <w:color w:val="1A5276"/>
          <w:sz w:val="32"/>
          <w:szCs w:val="32"/>
        </w:rPr>
        <w:t xml:space="preserve">2. System Context</w:t>
      </w:r>
    </w:p>
    <w:p>
      <w:pPr>
        <w:pBdr>
          <w:bottom w:val="single" w:color="2E86C1" w:sz="4" w:space="1"/>
        </w:pBdr>
        <w:spacing w:before="120" w:after="120"/>
      </w:pPr>
    </w:p>
    <w:p>
      <w:pPr>
        <w:spacing w:before="0" w:after="160"/>
      </w:pPr>
      <w:r>
        <w:rPr>
          <w:rFonts w:ascii="Arial" w:cs="Arial" w:eastAsia="Arial" w:hAnsi="Arial"/>
          <w:sz w:val="24"/>
          <w:szCs w:val="24"/>
        </w:rPr>
        <w:t xml:space="preserve">Kindora is a multi-tenant SaaS platform for daycare and school management. The following context shapes the security requirements:</w:t>
      </w:r>
    </w:p>
    <w:p>
      <w:pPr>
        <w:spacing w:before="80" w:after="0"/>
      </w:pPr>
    </w:p>
    <w:p>
      <w:pPr>
        <w:pStyle w:val="ListParagraph"/>
        <w:numPr>
          <w:ilvl w:val="0"/>
          <w:numId w:val="2"/>
        </w:numPr>
        <w:spacing w:before="0" w:after="80"/>
      </w:pPr>
      <w:r>
        <w:rPr>
          <w:rFonts w:ascii="Arial" w:cs="Arial" w:eastAsia="Arial" w:hAnsi="Arial"/>
          <w:sz w:val="24"/>
          <w:szCs w:val="24"/>
        </w:rPr>
        <w:t xml:space="preserve">Multi-tenant architecture — every data access is scoped to a School entity, resolved at request time by SchoolContextGuard.</w:t>
      </w:r>
    </w:p>
    <w:p>
      <w:pPr>
        <w:pStyle w:val="ListParagraph"/>
        <w:numPr>
          <w:ilvl w:val="0"/>
          <w:numId w:val="2"/>
        </w:numPr>
        <w:spacing w:before="0" w:after="80"/>
      </w:pPr>
      <w:r>
        <w:rPr>
          <w:rFonts w:ascii="Arial" w:cs="Arial" w:eastAsia="Arial" w:hAnsi="Arial"/>
          <w:sz w:val="24"/>
          <w:szCs w:val="24"/>
        </w:rPr>
        <w:t xml:space="preserve">User roles — super-admin (platform-level), school-admin, teacher, parent, staff. Each role has a distinct permission set enforced via role_permissions table.</w:t>
      </w:r>
    </w:p>
    <w:p>
      <w:pPr>
        <w:pStyle w:val="ListParagraph"/>
        <w:numPr>
          <w:ilvl w:val="0"/>
          <w:numId w:val="2"/>
        </w:numPr>
        <w:spacing w:before="0" w:after="80"/>
      </w:pPr>
      <w:r>
        <w:rPr>
          <w:rFonts w:ascii="Arial" w:cs="Arial" w:eastAsia="Arial" w:hAnsi="Arial"/>
          <w:sz w:val="24"/>
          <w:szCs w:val="24"/>
        </w:rPr>
        <w:t xml:space="preserve">PII sensitivity — the platform stores children's personal data (names, dates of birth, gender, medical notes) and parent contact details. This triggers obligations under African data protection laws (Rwanda Law N° 058/2021) and, for any future EU data subjects, GDPR Article 9 (children's data as sensitive category).</w:t>
      </w:r>
    </w:p>
    <w:p>
      <w:pPr>
        <w:pStyle w:val="ListParagraph"/>
        <w:numPr>
          <w:ilvl w:val="0"/>
          <w:numId w:val="2"/>
        </w:numPr>
        <w:spacing w:before="0" w:after="80"/>
      </w:pPr>
      <w:r>
        <w:rPr>
          <w:rFonts w:ascii="Arial" w:cs="Arial" w:eastAsia="Arial" w:hAnsi="Arial"/>
          <w:sz w:val="24"/>
          <w:szCs w:val="24"/>
        </w:rPr>
        <w:t xml:space="preserve">User invitation model — users are invited into a school context via a JWT-signed email link. They set their own password on first login. No self-registration.</w:t>
      </w:r>
    </w:p>
    <w:p>
      <w:pPr>
        <w:pStyle w:val="ListParagraph"/>
        <w:numPr>
          <w:ilvl w:val="0"/>
          <w:numId w:val="2"/>
        </w:numPr>
        <w:spacing w:before="0" w:after="80"/>
      </w:pPr>
      <w:r>
        <w:rPr>
          <w:rFonts w:ascii="Arial" w:cs="Arial" w:eastAsia="Arial" w:hAnsi="Arial"/>
          <w:sz w:val="24"/>
          <w:szCs w:val="24"/>
        </w:rPr>
        <w:t xml:space="preserve">Current geographic scope — Rwanda v1, with planned expansion to broader African markets.</w:t>
      </w:r>
    </w:p>
    <w:p>
      <w:pPr>
        <w:pStyle w:val="ListParagraph"/>
        <w:numPr>
          <w:ilvl w:val="0"/>
          <w:numId w:val="2"/>
        </w:numPr>
        <w:spacing w:before="0" w:after="80"/>
      </w:pPr>
      <w:r>
        <w:rPr>
          <w:rFonts w:ascii="Arial" w:cs="Arial" w:eastAsia="Arial" w:hAnsi="Arial"/>
          <w:sz w:val="24"/>
          <w:szCs w:val="24"/>
        </w:rPr>
        <w:t xml:space="preserve">Infrastructure — Node.js / NestJS backend on PostgreSQL. Redis for Bull queues (email dispatch). JWT with HMAC-SHA256.</w:t>
      </w:r>
    </w:p>
    <w:p>
      <w:pPr>
        <w:spacing w:before="120" w:after="0"/>
      </w:pPr>
    </w:p>
    <w:p>
      <w:pPr>
        <w:pStyle w:val="Heading1"/>
        <w:spacing w:before="360" w:after="160"/>
      </w:pPr>
      <w:r>
        <w:rPr>
          <w:rFonts w:ascii="Arial" w:cs="Arial" w:eastAsia="Arial" w:hAnsi="Arial"/>
          <w:b/>
          <w:bCs/>
          <w:color w:val="1A5276"/>
          <w:sz w:val="32"/>
          <w:szCs w:val="32"/>
        </w:rPr>
        <w:t xml:space="preserve">3. Current Implementation Assessment</w:t>
      </w:r>
    </w:p>
    <w:p>
      <w:pPr>
        <w:pBdr>
          <w:bottom w:val="single" w:color="2E86C1" w:sz="4" w:space="1"/>
        </w:pBdr>
        <w:spacing w:before="120" w:after="120"/>
      </w:pPr>
    </w:p>
    <w:p>
      <w:pPr>
        <w:pStyle w:val="Heading2"/>
        <w:spacing w:before="280" w:after="120"/>
      </w:pPr>
      <w:r>
        <w:rPr>
          <w:rFonts w:ascii="Arial" w:cs="Arial" w:eastAsia="Arial" w:hAnsi="Arial"/>
          <w:b/>
          <w:bCs/>
          <w:color w:val="2E86C1"/>
          <w:sz w:val="28"/>
          <w:szCs w:val="28"/>
        </w:rPr>
        <w:t xml:space="preserve">3.1 What Is Well-Implemented</w:t>
      </w:r>
    </w:p>
    <w:p>
      <w:pPr>
        <w:spacing w:before="80" w:after="0"/>
      </w:pPr>
    </w:p>
    <w:p>
      <w:pPr>
        <w:pStyle w:val="Heading3"/>
        <w:spacing w:before="200" w:after="100"/>
      </w:pPr>
      <w:r>
        <w:rPr>
          <w:rFonts w:ascii="Arial" w:cs="Arial" w:eastAsia="Arial" w:hAnsi="Arial"/>
          <w:b/>
          <w:bCs/>
          <w:color w:val="566573"/>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Feature</w:t>
            </w:r>
          </w:p>
        </w:tc>
        <w:tc>
          <w:tcPr>
            <w:tcW w:type="dxa" w:w="43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Implementation Detail</w:t>
            </w:r>
          </w:p>
        </w:tc>
        <w:tc>
          <w:tcPr>
            <w:tcW w:type="dxa" w:w="22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Standard Met</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Dual-token model</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15-min access JWT + 30-day rotating refresh token</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3.2.3</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Token revocation</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tokenVersion integer in user row — one DB lookup catches all revoked tokens</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3.2.4</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Refresh token security</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SHA-256 hash only stored; raw 40-byte CSPRNG token returned once</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3.2.2</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Theft detection</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Re-use of revoked refresh token triggers full account lockout</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RFC 6819 §5.2.2</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OTP randomness</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crypto.randomInt() — CSPRNG (fixed from Math.random)</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NIST SP 800-90A</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Password hashing</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bcryptjs, cost factor 10, unique salt per user</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Password Cheat Sheet</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JWT payload safety</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password and pkid omitted from all responses via omit()</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2.6.1</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2FA via email OTP</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6-digit code, bcrypt-hashed, 5-min expiry</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NIST SP 800-63B §5.1.3</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Account lockout</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5 failures → 15-min lock, tokenVersion incremented, all sessions revoked</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2.2.1</w:t>
            </w:r>
          </w:p>
        </w:tc>
      </w:tr>
    </w:tbl>
    <w:p>
      <w:pPr>
        <w:spacing w:before="160" w:after="0"/>
      </w:pPr>
    </w:p>
    <w:p>
      <w:pPr>
        <w:pStyle w:val="Heading3"/>
        <w:spacing w:before="200" w:after="100"/>
      </w:pPr>
      <w:r>
        <w:rPr>
          <w:rFonts w:ascii="Arial" w:cs="Arial" w:eastAsia="Arial" w:hAnsi="Arial"/>
          <w:b/>
          <w:bCs/>
          <w:color w:val="566573"/>
          <w:sz w:val="24"/>
          <w:szCs w:val="24"/>
        </w:rPr>
        <w:t xml:space="preserve">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Feature</w:t>
            </w:r>
          </w:p>
        </w:tc>
        <w:tc>
          <w:tcPr>
            <w:tcW w:type="dxa" w:w="43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Implementation Detail</w:t>
            </w:r>
          </w:p>
        </w:tc>
        <w:tc>
          <w:tcPr>
            <w:tcW w:type="dxa" w:w="22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Standard Met</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RBAC</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Roles → Permissions table with slug-based matching, no hardcoded role checks in code</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4.1.1</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Tenant isolation</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SchoolContextGuard resolves school per-request; all queries scoped to schoolId</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4.1.3</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Permission enforcement</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PermissionGuard — all required permissions verified from resolved context, not JWT claim</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4.1.5</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Branch sub-tenancy</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BranchContextGuard for sub-school scoping</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Multi-tenant best practice</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Sensitive action gate</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ReauthGuard validates 5-min X-Reauth-Token before high-risk operations</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3.7.1</w:t>
            </w:r>
          </w:p>
        </w:tc>
      </w:tr>
    </w:tbl>
    <w:p>
      <w:pPr>
        <w:spacing w:before="160" w:after="0"/>
      </w:pPr>
    </w:p>
    <w:p>
      <w:pPr>
        <w:pStyle w:val="Heading3"/>
        <w:spacing w:before="200" w:after="100"/>
      </w:pPr>
      <w:r>
        <w:rPr>
          <w:rFonts w:ascii="Arial" w:cs="Arial" w:eastAsia="Arial" w:hAnsi="Arial"/>
          <w:b/>
          <w:bCs/>
          <w:color w:val="566573"/>
          <w:sz w:val="24"/>
          <w:szCs w:val="24"/>
        </w:rPr>
        <w:t xml:space="preserve">Input Validation &amp; Serialisation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Feature</w:t>
            </w:r>
          </w:p>
        </w:tc>
        <w:tc>
          <w:tcPr>
            <w:tcW w:type="dxa" w:w="43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Implementation Detail</w:t>
            </w:r>
          </w:p>
        </w:tc>
        <w:tc>
          <w:tcPr>
            <w:tcW w:type="dxa" w:w="22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Standard Met</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Global validation pipe</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whitelist: true + forbidNonWhitelisted: true — unknown fields rejected</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5.1.1</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DTO validation</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class-validator decorators on all request DTOs</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5.1.3</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Response serialisation</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ClassSerializerInterceptor + @Exclude() on sensitive fields</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3.1.1</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Audit logging</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AuditLogInterceptor — global, sensitive fields redacted, fire-and-forget</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7.2.1</w:t>
            </w:r>
          </w:p>
        </w:tc>
      </w:tr>
      <w:tr>
        <w:tc>
          <w:tcPr>
            <w:tcW w:type="dxa" w:w="28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Rate limiting</w:t>
            </w:r>
          </w:p>
        </w:tc>
        <w:tc>
          <w:tcPr>
            <w:tcW w:type="dxa" w:w="4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@nestjs/throttler — global guard, per-endpoint overrides on auth routes</w:t>
            </w:r>
          </w:p>
        </w:tc>
        <w:tc>
          <w:tcPr>
            <w:tcW w:type="dxa" w:w="22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2.2.1</w:t>
            </w:r>
          </w:p>
        </w:tc>
      </w:tr>
    </w:tbl>
    <w:p>
      <w:r>
        <w:br w:type="page"/>
      </w:r>
    </w:p>
    <w:p>
      <w:pPr>
        <w:pStyle w:val="Heading1"/>
        <w:spacing w:before="360" w:after="160"/>
      </w:pPr>
      <w:r>
        <w:rPr>
          <w:rFonts w:ascii="Arial" w:cs="Arial" w:eastAsia="Arial" w:hAnsi="Arial"/>
          <w:b/>
          <w:bCs/>
          <w:color w:val="1A5276"/>
          <w:sz w:val="32"/>
          <w:szCs w:val="32"/>
        </w:rPr>
        <w:t xml:space="preserve">4. Security Gap Analysis</w:t>
      </w:r>
    </w:p>
    <w:p>
      <w:pPr>
        <w:pBdr>
          <w:bottom w:val="single" w:color="2E86C1" w:sz="4" w:space="1"/>
        </w:pBdr>
        <w:spacing w:before="120" w:after="120"/>
      </w:pPr>
    </w:p>
    <w:p>
      <w:pPr>
        <w:spacing w:before="0" w:after="160"/>
      </w:pPr>
      <w:r>
        <w:rPr>
          <w:rFonts w:ascii="Arial" w:cs="Arial" w:eastAsia="Arial" w:hAnsi="Arial"/>
          <w:sz w:val="24"/>
          <w:szCs w:val="24"/>
        </w:rPr>
        <w:t xml:space="preserve">The following gaps were identified through code review against OWASP ASVS Level 2 and NIST SP 800-63B. Each gap is rated by severity and mapped to the execution plan phase.</w:t>
      </w:r>
    </w:p>
    <w:p>
      <w:pPr>
        <w:spacing w:before="120" w:after="0"/>
      </w:pPr>
    </w:p>
    <w:p>
      <w:pPr>
        <w:pStyle w:val="Heading2"/>
        <w:spacing w:before="280" w:after="120"/>
      </w:pPr>
      <w:r>
        <w:rPr>
          <w:rFonts w:ascii="Arial" w:cs="Arial" w:eastAsia="Arial" w:hAnsi="Arial"/>
          <w:b/>
          <w:bCs/>
          <w:color w:val="2E86C1"/>
          <w:sz w:val="28"/>
          <w:szCs w:val="28"/>
        </w:rPr>
        <w:t xml:space="preserve">4.1 Critical — Must Fix Before Public Launch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w:t>
            </w:r>
          </w:p>
        </w:tc>
        <w:tc>
          <w:tcPr>
            <w:tcW w:type="dxa" w:w="34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Gap</w:t>
            </w:r>
          </w:p>
        </w:tc>
        <w:tc>
          <w:tcPr>
            <w:tcW w:type="dxa" w:w="35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Risk</w:t>
            </w:r>
          </w:p>
        </w:tc>
        <w:tc>
          <w:tcPr>
            <w:tcW w:type="dxa" w:w="20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Fix (Phase)</w:t>
            </w:r>
          </w:p>
        </w:tc>
      </w:tr>
      <w:tr>
        <w:tc>
          <w:tcPr>
            <w:tcW w:type="dxa" w:w="4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C1</w:t>
            </w:r>
          </w:p>
        </w:tc>
        <w:tc>
          <w:tcPr>
            <w:tcW w:type="dxa" w:w="34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No HTTP security headers (Helmet missing)</w:t>
            </w:r>
          </w:p>
        </w:tc>
        <w:tc>
          <w:tcPr>
            <w:tcW w:type="dxa" w:w="356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XSS, clickjacking, MIME sniffing attacks. Any modern browser scanner will flag this. Direct impact on user data.</w:t>
            </w:r>
          </w:p>
        </w:tc>
        <w:tc>
          <w:tcPr>
            <w:tcW w:type="dxa" w:w="20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A</w:t>
            </w:r>
          </w:p>
        </w:tc>
      </w:tr>
      <w:tr>
        <w:tc>
          <w:tcPr>
            <w:tcW w:type="dxa" w:w="4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C2</w:t>
            </w:r>
          </w:p>
        </w:tc>
        <w:tc>
          <w:tcPr>
            <w:tcW w:type="dxa" w:w="34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CORS accepts all origins (app.enableCors() with no restriction)</w:t>
            </w:r>
          </w:p>
        </w:tc>
        <w:tc>
          <w:tcPr>
            <w:tcW w:type="dxa" w:w="356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Any website can make authenticated API requests on behalf of logged-in users. Enables CSRF-style attacks.</w:t>
            </w:r>
          </w:p>
        </w:tc>
        <w:tc>
          <w:tcPr>
            <w:tcW w:type="dxa" w:w="20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A</w:t>
            </w:r>
          </w:p>
        </w:tc>
      </w:tr>
      <w:tr>
        <w:tc>
          <w:tcPr>
            <w:tcW w:type="dxa" w:w="4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C3</w:t>
            </w:r>
          </w:p>
        </w:tc>
        <w:tc>
          <w:tcPr>
            <w:tcW w:type="dxa" w:w="34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Timing oracle on login (user enumeration)</w:t>
            </w:r>
          </w:p>
        </w:tc>
        <w:tc>
          <w:tcPr>
            <w:tcW w:type="dxa" w:w="356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When email is not found, code throws immediately without running bcrypt. Response time difference (~100ms) lets attackers enumerate valid email addresses.</w:t>
            </w:r>
          </w:p>
        </w:tc>
        <w:tc>
          <w:tcPr>
            <w:tcW w:type="dxa" w:w="20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A</w:t>
            </w:r>
          </w:p>
        </w:tc>
      </w:tr>
      <w:tr>
        <w:tc>
          <w:tcPr>
            <w:tcW w:type="dxa" w:w="4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C4</w:t>
            </w:r>
          </w:p>
        </w:tc>
        <w:tc>
          <w:tcPr>
            <w:tcW w:type="dxa" w:w="34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Password reset token is reusable within its 1-hour window</w:t>
            </w:r>
          </w:p>
        </w:tc>
        <w:tc>
          <w:tcPr>
            <w:tcW w:type="dxa" w:w="356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If reset email is intercepted, attacker can use the link at any time within the hour — even after the legitimate user has already reset. Token is not one-time.</w:t>
            </w:r>
          </w:p>
        </w:tc>
        <w:tc>
          <w:tcPr>
            <w:tcW w:type="dxa" w:w="20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A</w:t>
            </w:r>
          </w:p>
        </w:tc>
      </w:tr>
    </w:tbl>
    <w:p>
      <w:pPr>
        <w:spacing w:before="200" w:after="0"/>
      </w:pPr>
    </w:p>
    <w:p>
      <w:pPr>
        <w:pStyle w:val="Heading2"/>
        <w:spacing w:before="280" w:after="120"/>
      </w:pPr>
      <w:r>
        <w:rPr>
          <w:rFonts w:ascii="Arial" w:cs="Arial" w:eastAsia="Arial" w:hAnsi="Arial"/>
          <w:b/>
          <w:bCs/>
          <w:color w:val="2E86C1"/>
          <w:sz w:val="28"/>
          <w:szCs w:val="28"/>
        </w:rPr>
        <w:t xml:space="preserve">4.2 Important — Fix in Next Sprint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w:t>
            </w:r>
          </w:p>
        </w:tc>
        <w:tc>
          <w:tcPr>
            <w:tcW w:type="dxa" w:w="34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Gap</w:t>
            </w:r>
          </w:p>
        </w:tc>
        <w:tc>
          <w:tcPr>
            <w:tcW w:type="dxa" w:w="35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Risk</w:t>
            </w:r>
          </w:p>
        </w:tc>
        <w:tc>
          <w:tcPr>
            <w:tcW w:type="dxa" w:w="20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Fix (Phase)</w:t>
            </w:r>
          </w:p>
        </w:tc>
      </w:tr>
      <w:tr>
        <w:tc>
          <w:tcPr>
            <w:tcW w:type="dxa" w:w="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I1</w:t>
            </w:r>
          </w:p>
        </w:tc>
        <w:tc>
          <w:tcPr>
            <w:tcW w:type="dxa" w:w="3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changePassword not protected by ReauthGuard</w:t>
            </w:r>
          </w:p>
        </w:tc>
        <w:tc>
          <w:tcPr>
            <w:tcW w:type="dxa" w:w="35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 stolen 15-min access token is sufficient to change the account password. ReauthGuard was built for exactly this; it is just not applied here.</w:t>
            </w:r>
          </w:p>
        </w:tc>
        <w:tc>
          <w:tcPr>
            <w:tcW w:type="dxa" w:w="20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A</w:t>
            </w:r>
          </w:p>
        </w:tc>
      </w:tr>
      <w:tr>
        <w:tc>
          <w:tcPr>
            <w:tcW w:type="dxa" w:w="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I2</w:t>
            </w:r>
          </w:p>
        </w:tc>
        <w:tc>
          <w:tcPr>
            <w:tcW w:type="dxa" w:w="3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bcrypt cost factor 10 (below 2025 recommendation)</w:t>
            </w:r>
          </w:p>
        </w:tc>
        <w:tc>
          <w:tcPr>
            <w:tcW w:type="dxa" w:w="35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and NIST now recommend factor ≥ 12. Factor 10 is 4× weaker against GPU cracking. Not immediately dangerous but worth raising.</w:t>
            </w:r>
          </w:p>
        </w:tc>
        <w:tc>
          <w:tcPr>
            <w:tcW w:type="dxa" w:w="20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A</w:t>
            </w:r>
          </w:p>
        </w:tc>
      </w:tr>
      <w:tr>
        <w:tc>
          <w:tcPr>
            <w:tcW w:type="dxa" w:w="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I3</w:t>
            </w:r>
          </w:p>
        </w:tc>
        <w:tc>
          <w:tcPr>
            <w:tcW w:type="dxa" w:w="3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No password complexity enforcement in DTOs</w:t>
            </w:r>
          </w:p>
        </w:tc>
        <w:tc>
          <w:tcPr>
            <w:tcW w:type="dxa" w:w="35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Users can set single-character passwords. No minimum length, no complexity rule. All auth hardening is undermined by weak passwords.</w:t>
            </w:r>
          </w:p>
        </w:tc>
        <w:tc>
          <w:tcPr>
            <w:tcW w:type="dxa" w:w="20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A</w:t>
            </w:r>
          </w:p>
        </w:tc>
      </w:tr>
      <w:tr>
        <w:tc>
          <w:tcPr>
            <w:tcW w:type="dxa" w:w="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I4</w:t>
            </w:r>
          </w:p>
        </w:tc>
        <w:tc>
          <w:tcPr>
            <w:tcW w:type="dxa" w:w="3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Failed login attempts not written to audit_logs</w:t>
            </w:r>
          </w:p>
        </w:tc>
        <w:tc>
          <w:tcPr>
            <w:tcW w:type="dxa" w:w="35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Security teams cannot detect credential-stuffing campaigns. Account lockout fires but leaves no audit trail.</w:t>
            </w:r>
          </w:p>
        </w:tc>
        <w:tc>
          <w:tcPr>
            <w:tcW w:type="dxa" w:w="20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B</w:t>
            </w:r>
          </w:p>
        </w:tc>
      </w:tr>
      <w:tr>
        <w:tc>
          <w:tcPr>
            <w:tcW w:type="dxa" w:w="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I5</w:t>
            </w:r>
          </w:p>
        </w:tc>
        <w:tc>
          <w:tcPr>
            <w:tcW w:type="dxa" w:w="3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No active sessions endpoint for users</w:t>
            </w:r>
          </w:p>
        </w:tc>
        <w:tc>
          <w:tcPr>
            <w:tcW w:type="dxa" w:w="35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Users cannot see or revoke their own sessions. This is a standard user-facing security feature (GitHub, Google, Apple all provide it).</w:t>
            </w:r>
          </w:p>
        </w:tc>
        <w:tc>
          <w:tcPr>
            <w:tcW w:type="dxa" w:w="20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B</w:t>
            </w:r>
          </w:p>
        </w:tc>
      </w:tr>
      <w:tr>
        <w:tc>
          <w:tcPr>
            <w:tcW w:type="dxa" w:w="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I6</w:t>
            </w:r>
          </w:p>
        </w:tc>
        <w:tc>
          <w:tcPr>
            <w:tcW w:type="dxa" w:w="34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No inactivity-based session expiry</w:t>
            </w:r>
          </w:p>
        </w:tc>
        <w:tc>
          <w:tcPr>
            <w:tcW w:type="dxa" w:w="356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Refresh tokens expire after 30 days absolute, but there is no sliding inactivity window. A dormant session stays valid for the full period.</w:t>
            </w:r>
          </w:p>
        </w:tc>
        <w:tc>
          <w:tcPr>
            <w:tcW w:type="dxa" w:w="20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B</w:t>
            </w:r>
          </w:p>
        </w:tc>
      </w:tr>
    </w:tbl>
    <w:p>
      <w:pPr>
        <w:spacing w:before="200" w:after="0"/>
      </w:pPr>
    </w:p>
    <w:p>
      <w:pPr>
        <w:pStyle w:val="Heading2"/>
        <w:spacing w:before="280" w:after="120"/>
      </w:pPr>
      <w:r>
        <w:rPr>
          <w:rFonts w:ascii="Arial" w:cs="Arial" w:eastAsia="Arial" w:hAnsi="Arial"/>
          <w:b/>
          <w:bCs/>
          <w:color w:val="2E86C1"/>
          <w:sz w:val="28"/>
          <w:szCs w:val="28"/>
        </w:rPr>
        <w:t xml:space="preserve">4.3 Planned — Roadmap Items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w:t>
            </w:r>
          </w:p>
        </w:tc>
        <w:tc>
          <w:tcPr>
            <w:tcW w:type="dxa" w:w="34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Gap</w:t>
            </w:r>
          </w:p>
        </w:tc>
        <w:tc>
          <w:tcPr>
            <w:tcW w:type="dxa" w:w="35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Impact</w:t>
            </w:r>
          </w:p>
        </w:tc>
        <w:tc>
          <w:tcPr>
            <w:tcW w:type="dxa" w:w="20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Fix (Phase)</w:t>
            </w:r>
          </w:p>
        </w:tc>
      </w:tr>
      <w:tr>
        <w:tc>
          <w:tcPr>
            <w:tcW w:type="dxa" w:w="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P1</w:t>
            </w:r>
          </w:p>
        </w:tc>
        <w:tc>
          <w:tcPr>
            <w:tcW w:type="dxa" w:w="3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MFA backup/recovery codes missing</w:t>
            </w:r>
          </w:p>
        </w:tc>
        <w:tc>
          <w:tcPr>
            <w:tcW w:type="dxa" w:w="3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Users lose account access if email is unavailable. No recovery path without admin intervention.</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C</w:t>
            </w:r>
          </w:p>
        </w:tc>
      </w:tr>
      <w:tr>
        <w:tc>
          <w:tcPr>
            <w:tcW w:type="dxa" w:w="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P2</w:t>
            </w:r>
          </w:p>
        </w:tc>
        <w:tc>
          <w:tcPr>
            <w:tcW w:type="dxa" w:w="3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TOTP (Google Authenticator / Authy) not implemented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Email OTP depends on email deliverability. TOTP is the industry standard for 2FA.</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C</w:t>
            </w:r>
          </w:p>
        </w:tc>
      </w:tr>
      <w:tr>
        <w:tc>
          <w:tcPr>
            <w:tcW w:type="dxa" w:w="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P3</w:t>
            </w:r>
          </w:p>
        </w:tc>
        <w:tc>
          <w:tcPr>
            <w:tcW w:type="dxa" w:w="3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No MFA enforcement by role (admin-mandated)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School admins cannot require 2FA for their staff. No tenant-level MFA policy.</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C</w:t>
            </w:r>
          </w:p>
        </w:tc>
      </w:tr>
      <w:tr>
        <w:tc>
          <w:tcPr>
            <w:tcW w:type="dxa" w:w="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P4</w:t>
            </w:r>
          </w:p>
        </w:tc>
        <w:tc>
          <w:tcPr>
            <w:tcW w:type="dxa" w:w="3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Password policy is global, not tenant-configurable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Schools cannot enforce their own password rules. Required for compliance in some regulated environments.</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D</w:t>
            </w:r>
          </w:p>
        </w:tc>
      </w:tr>
      <w:tr>
        <w:tc>
          <w:tcPr>
            <w:tcW w:type="dxa" w:w="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P5</w:t>
            </w:r>
          </w:p>
        </w:tc>
        <w:tc>
          <w:tcPr>
            <w:tcW w:type="dxa" w:w="3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No OAuth2 / OIDC / SSO support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Schools using Google Workspace or Microsoft 365 cannot use single sign-on. Significant adoption barrier for enterprise schools.</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E</w:t>
            </w:r>
          </w:p>
        </w:tc>
      </w:tr>
      <w:tr>
        <w:tc>
          <w:tcPr>
            <w:tcW w:type="dxa" w:w="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P6</w:t>
            </w:r>
          </w:p>
        </w:tc>
        <w:tc>
          <w:tcPr>
            <w:tcW w:type="dxa" w:w="3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No formal penetration test or SOC2 readiness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Required for enterprise contracts and any regulated market.</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F</w:t>
            </w:r>
          </w:p>
        </w:tc>
      </w:tr>
    </w:tbl>
    <w:p>
      <w:r>
        <w:br w:type="page"/>
      </w:r>
    </w:p>
    <w:p>
      <w:pPr>
        <w:pStyle w:val="Heading1"/>
        <w:spacing w:before="360" w:after="160"/>
      </w:pPr>
      <w:r>
        <w:rPr>
          <w:rFonts w:ascii="Arial" w:cs="Arial" w:eastAsia="Arial" w:hAnsi="Arial"/>
          <w:b/>
          <w:bCs/>
          <w:color w:val="1A5276"/>
          <w:sz w:val="32"/>
          <w:szCs w:val="32"/>
        </w:rPr>
        <w:t xml:space="preserve">5. Execution Plan — Phases to Global Standard</w:t>
      </w:r>
    </w:p>
    <w:p>
      <w:pPr>
        <w:pBdr>
          <w:bottom w:val="single" w:color="2E86C1" w:sz="4" w:space="1"/>
        </w:pBdr>
        <w:spacing w:before="120" w:after="120"/>
      </w:pPr>
    </w:p>
    <w:p>
      <w:pPr>
        <w:spacing w:before="0" w:after="160"/>
      </w:pPr>
      <w:r>
        <w:rPr>
          <w:rFonts w:ascii="Arial" w:cs="Arial" w:eastAsia="Arial" w:hAnsi="Arial"/>
          <w:sz w:val="24"/>
          <w:szCs w:val="24"/>
        </w:rPr>
        <w:t xml:space="preserve">Each phase below is a self-contained, deployable unit. Phases are ordered by security impact. Estimated effort assumes a single backend engineer familiar with the codebase.</w:t>
      </w:r>
    </w:p>
    <w:p>
      <w:pPr>
        <w:spacing w:before="120" w:after="0"/>
      </w:pPr>
    </w:p>
    <w:p>
      <w:pPr>
        <w:pStyle w:val="Heading2"/>
        <w:spacing w:before="280" w:after="120"/>
      </w:pPr>
      <w:r>
        <w:rPr>
          <w:rFonts w:ascii="Arial" w:cs="Arial" w:eastAsia="Arial" w:hAnsi="Arial"/>
          <w:b/>
          <w:bCs/>
          <w:color w:val="2E86C1"/>
          <w:sz w:val="28"/>
          <w:szCs w:val="28"/>
        </w:rPr>
        <w:t xml:space="preserve">Phase A — Immediate Security Hardening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tcPr>
          <w:p>
            <w:pPr>
              <w:spacing w:before="0" w:after="0"/>
            </w:pPr>
            <w:r>
              <w:rPr>
                <w:rFonts w:ascii="Arial" w:cs="Arial" w:eastAsia="Arial" w:hAnsi="Arial"/>
                <w:b/>
                <w:bCs/>
                <w:color w:val="C0392B"/>
                <w:sz w:val="20"/>
                <w:szCs w:val="20"/>
              </w:rPr>
              <w:t xml:space="preserve">Priority</w:t>
            </w:r>
          </w:p>
          <w:p>
            <w:pPr>
              <w:spacing w:before="0" w:after="0"/>
            </w:pPr>
            <w:r>
              <w:rPr>
                <w:rFonts w:ascii="Arial" w:cs="Arial" w:eastAsia="Arial" w:hAnsi="Arial"/>
                <w:b/>
                <w:bCs/>
                <w:color w:val="C0392B"/>
                <w:sz w:val="28"/>
                <w:szCs w:val="28"/>
              </w:rPr>
              <w:t xml:space="preserve">CRITICAL</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Estimated effort</w:t>
            </w:r>
          </w:p>
          <w:p>
            <w:pPr>
              <w:spacing w:before="0" w:after="0"/>
            </w:pPr>
            <w:r>
              <w:rPr>
                <w:rFonts w:ascii="Arial" w:cs="Arial" w:eastAsia="Arial" w:hAnsi="Arial"/>
                <w:sz w:val="20"/>
                <w:szCs w:val="20"/>
              </w:rPr>
              <w:t xml:space="preserve">1–2 engineer-days</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Closes gaps</w:t>
            </w:r>
          </w:p>
          <w:p>
            <w:pPr>
              <w:spacing w:before="0" w:after="0"/>
            </w:pPr>
            <w:r>
              <w:rPr>
                <w:rFonts w:ascii="Arial" w:cs="Arial" w:eastAsia="Arial" w:hAnsi="Arial"/>
                <w:sz w:val="20"/>
                <w:szCs w:val="20"/>
              </w:rPr>
              <w:t xml:space="preserve">C1, C2, C3, C4, I1, I2, I3</w:t>
            </w:r>
          </w:p>
        </w:tc>
      </w:tr>
    </w:tbl>
    <w:p>
      <w:pPr>
        <w:spacing w:before="120" w:after="0"/>
      </w:pPr>
    </w:p>
    <w:p>
      <w:pPr>
        <w:pStyle w:val="Heading3"/>
        <w:spacing w:before="200" w:after="100"/>
      </w:pPr>
      <w:r>
        <w:rPr>
          <w:rFonts w:ascii="Arial" w:cs="Arial" w:eastAsia="Arial" w:hAnsi="Arial"/>
          <w:b/>
          <w:bCs/>
          <w:color w:val="566573"/>
          <w:sz w:val="24"/>
          <w:szCs w:val="24"/>
        </w:rPr>
        <w:t xml:space="preserve">A1 — Add Helmet + restrict CORS origins</w:t>
      </w:r>
    </w:p>
    <w:p>
      <w:pPr>
        <w:spacing w:before="0" w:after="160"/>
      </w:pPr>
      <w:r>
        <w:rPr>
          <w:rFonts w:ascii="Arial" w:cs="Arial" w:eastAsia="Arial" w:hAnsi="Arial"/>
          <w:sz w:val="24"/>
          <w:szCs w:val="24"/>
        </w:rPr>
        <w:t xml:space="preserve">Install @nestjs/helmet. In main.ts, call app.use(helmet()) before any route registration. Replace app.enableCors() with an origin allowlist read from the ALLOWED_ORIGINS environment variable.</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src/main.ts</w:t>
      </w:r>
    </w:p>
    <w:p>
      <w:pPr>
        <w:spacing w:before="80" w:after="0"/>
      </w:pPr>
    </w:p>
    <w:p>
      <w:pPr>
        <w:pStyle w:val="Heading3"/>
        <w:spacing w:before="200" w:after="100"/>
      </w:pPr>
      <w:r>
        <w:rPr>
          <w:rFonts w:ascii="Arial" w:cs="Arial" w:eastAsia="Arial" w:hAnsi="Arial"/>
          <w:b/>
          <w:bCs/>
          <w:color w:val="566573"/>
          <w:sz w:val="24"/>
          <w:szCs w:val="24"/>
        </w:rPr>
        <w:t xml:space="preserve">A2 — Fix timing oracle on login</w:t>
      </w:r>
    </w:p>
    <w:p>
      <w:pPr>
        <w:spacing w:before="0" w:after="160"/>
      </w:pPr>
      <w:r>
        <w:rPr>
          <w:rFonts w:ascii="Arial" w:cs="Arial" w:eastAsia="Arial" w:hAnsi="Arial"/>
          <w:sz w:val="24"/>
          <w:szCs w:val="24"/>
        </w:rPr>
        <w:t xml:space="preserve">When a user is not found by email, run a dummy bcrypt.compare() against a pre-computed constant hash before throwing INVALID_CREDENTIALS. This normalises response time regardless of whether the email exists.</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src/auth/auth.service.ts (login method)</w:t>
      </w:r>
    </w:p>
    <w:p>
      <w:pPr>
        <w:spacing w:before="80" w:after="0"/>
      </w:pPr>
    </w:p>
    <w:p>
      <w:pPr>
        <w:pStyle w:val="Heading3"/>
        <w:spacing w:before="200" w:after="100"/>
      </w:pPr>
      <w:r>
        <w:rPr>
          <w:rFonts w:ascii="Arial" w:cs="Arial" w:eastAsia="Arial" w:hAnsi="Arial"/>
          <w:b/>
          <w:bCs/>
          <w:color w:val="566573"/>
          <w:sz w:val="24"/>
          <w:szCs w:val="24"/>
        </w:rPr>
        <w:t xml:space="preserve">A3 — Make password reset tokens one-time-use</w:t>
      </w:r>
    </w:p>
    <w:p>
      <w:pPr>
        <w:spacing w:before="0" w:after="160"/>
      </w:pPr>
      <w:r>
        <w:rPr>
          <w:rFonts w:ascii="Arial" w:cs="Arial" w:eastAsia="Arial" w:hAnsi="Arial"/>
          <w:sz w:val="24"/>
          <w:szCs w:val="24"/>
        </w:rPr>
        <w:t xml:space="preserve">Add a passwordResetToken varchar(64) column and passwordResetTokenUsedAt timestamptz column to the users table. On requestPasswordReset, store a SHA-256 hash of a CSPRNG nonce. On resetPassword, verify the hash, reject if passwordResetTokenUsedAt is already set, then mark it used. This replaces the current JWT-based approach which is reusable.</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users entity, auth.service.ts, migration</w:t>
      </w:r>
    </w:p>
    <w:p>
      <w:pPr>
        <w:spacing w:before="80" w:after="0"/>
      </w:pPr>
    </w:p>
    <w:p>
      <w:pPr>
        <w:pStyle w:val="Heading3"/>
        <w:spacing w:before="200" w:after="100"/>
      </w:pPr>
      <w:r>
        <w:rPr>
          <w:rFonts w:ascii="Arial" w:cs="Arial" w:eastAsia="Arial" w:hAnsi="Arial"/>
          <w:b/>
          <w:bCs/>
          <w:color w:val="566573"/>
          <w:sz w:val="24"/>
          <w:szCs w:val="24"/>
        </w:rPr>
        <w:t xml:space="preserve">A4 — Apply ReauthGuard to changePassword</w:t>
      </w:r>
    </w:p>
    <w:p>
      <w:pPr>
        <w:spacing w:before="0" w:after="160"/>
      </w:pPr>
      <w:r>
        <w:rPr>
          <w:rFonts w:ascii="Arial" w:cs="Arial" w:eastAsia="Arial" w:hAnsi="Arial"/>
          <w:sz w:val="24"/>
          <w:szCs w:val="24"/>
        </w:rPr>
        <w:t xml:space="preserve">Add @UseGuards(JwtAuthGuard, ReauthGuard) to the PATCH /auth/change-password endpoint. The client must first call POST /auth/reauth to get the 5-minute reauth token, then include it as X-Reauth-Token.</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src/auth/auth.controller.ts</w:t>
      </w:r>
    </w:p>
    <w:p>
      <w:pPr>
        <w:spacing w:before="80" w:after="0"/>
      </w:pPr>
    </w:p>
    <w:p>
      <w:pPr>
        <w:pStyle w:val="Heading3"/>
        <w:spacing w:before="200" w:after="100"/>
      </w:pPr>
      <w:r>
        <w:rPr>
          <w:rFonts w:ascii="Arial" w:cs="Arial" w:eastAsia="Arial" w:hAnsi="Arial"/>
          <w:b/>
          <w:bCs/>
          <w:color w:val="566573"/>
          <w:sz w:val="24"/>
          <w:szCs w:val="24"/>
        </w:rPr>
        <w:t xml:space="preserve">A5 — Raise bcrypt cost factor to 12</w:t>
      </w:r>
    </w:p>
    <w:p>
      <w:pPr>
        <w:spacing w:before="0" w:after="160"/>
      </w:pPr>
      <w:r>
        <w:rPr>
          <w:rFonts w:ascii="Arial" w:cs="Arial" w:eastAsia="Arial" w:hAnsi="Arial"/>
          <w:sz w:val="24"/>
          <w:szCs w:val="24"/>
        </w:rPr>
        <w:t xml:space="preserve">Replace all bcrypt.genSaltSync(10) calls with bcrypt.genSaltSync(12). Test that login response times remain acceptable (expect ~300ms at factor 12 on commodity hardware).</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src/auth/auth.service.ts (all bcrypt.hashSync calls)</w:t>
      </w:r>
    </w:p>
    <w:p>
      <w:pPr>
        <w:spacing w:before="80" w:after="0"/>
      </w:pPr>
    </w:p>
    <w:p>
      <w:pPr>
        <w:pStyle w:val="Heading3"/>
        <w:spacing w:before="200" w:after="100"/>
      </w:pPr>
      <w:r>
        <w:rPr>
          <w:rFonts w:ascii="Arial" w:cs="Arial" w:eastAsia="Arial" w:hAnsi="Arial"/>
          <w:b/>
          <w:bCs/>
          <w:color w:val="566573"/>
          <w:sz w:val="24"/>
          <w:szCs w:val="24"/>
        </w:rPr>
        <w:t xml:space="preserve">A6 — Enforce minimum password length in DTOs</w:t>
      </w:r>
    </w:p>
    <w:p>
      <w:pPr>
        <w:spacing w:before="0" w:after="160"/>
      </w:pPr>
      <w:r>
        <w:rPr>
          <w:rFonts w:ascii="Arial" w:cs="Arial" w:eastAsia="Arial" w:hAnsi="Arial"/>
          <w:sz w:val="24"/>
          <w:szCs w:val="24"/>
        </w:rPr>
        <w:t xml:space="preserve">Add @MinLength(12) to the password field on CreateUserDto, ResetPasswordDto, AcceptInviteDto, and ChangePasswordDto. Add a complexity check via @Matches(/^(?=.*[a-z])(?=.*[A-Z])(?=.*\d)(?=.*[^a-zA-Z\d])/, { message: 'Password must contain uppercase, lowercase, digit and special character' }).</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src/auth/dto/, src/users/dto/create-user.dto.ts</w:t>
      </w:r>
    </w:p>
    <w:p>
      <w:pPr>
        <w:spacing w:before="200" w:after="0"/>
      </w:pPr>
    </w:p>
    <w:p>
      <w:pPr>
        <w:pStyle w:val="Heading2"/>
        <w:spacing w:before="280" w:after="120"/>
      </w:pPr>
      <w:r>
        <w:rPr>
          <w:rFonts w:ascii="Arial" w:cs="Arial" w:eastAsia="Arial" w:hAnsi="Arial"/>
          <w:b/>
          <w:bCs/>
          <w:color w:val="2E86C1"/>
          <w:sz w:val="28"/>
          <w:szCs w:val="28"/>
        </w:rPr>
        <w:t xml:space="preserve">Phase B — Session Management &amp; Observability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tcPr>
          <w:p>
            <w:pPr>
              <w:spacing w:before="0" w:after="0"/>
            </w:pPr>
            <w:r>
              <w:rPr>
                <w:rFonts w:ascii="Arial" w:cs="Arial" w:eastAsia="Arial" w:hAnsi="Arial"/>
                <w:b/>
                <w:bCs/>
                <w:color w:val="B7770D"/>
                <w:sz w:val="20"/>
                <w:szCs w:val="20"/>
              </w:rPr>
              <w:t xml:space="preserve">Priority</w:t>
            </w:r>
          </w:p>
          <w:p>
            <w:pPr>
              <w:spacing w:before="0" w:after="0"/>
            </w:pPr>
            <w:r>
              <w:rPr>
                <w:rFonts w:ascii="Arial" w:cs="Arial" w:eastAsia="Arial" w:hAnsi="Arial"/>
                <w:b/>
                <w:bCs/>
                <w:color w:val="B7770D"/>
                <w:sz w:val="28"/>
                <w:szCs w:val="28"/>
              </w:rPr>
              <w:t xml:space="preserve">HIGH</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Estimated effort</w:t>
            </w:r>
          </w:p>
          <w:p>
            <w:pPr>
              <w:spacing w:before="0" w:after="0"/>
            </w:pPr>
            <w:r>
              <w:rPr>
                <w:rFonts w:ascii="Arial" w:cs="Arial" w:eastAsia="Arial" w:hAnsi="Arial"/>
                <w:sz w:val="20"/>
                <w:szCs w:val="20"/>
              </w:rPr>
              <w:t xml:space="preserve">3–5 engineer-days</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Closes gaps</w:t>
            </w:r>
          </w:p>
          <w:p>
            <w:pPr>
              <w:spacing w:before="0" w:after="0"/>
            </w:pPr>
            <w:r>
              <w:rPr>
                <w:rFonts w:ascii="Arial" w:cs="Arial" w:eastAsia="Arial" w:hAnsi="Arial"/>
                <w:sz w:val="20"/>
                <w:szCs w:val="20"/>
              </w:rPr>
              <w:t xml:space="preserve">I4, I5, I6</w:t>
            </w:r>
          </w:p>
        </w:tc>
      </w:tr>
    </w:tbl>
    <w:p>
      <w:pPr>
        <w:spacing w:before="120" w:after="0"/>
      </w:pPr>
    </w:p>
    <w:p>
      <w:pPr>
        <w:pStyle w:val="Heading3"/>
        <w:spacing w:before="200" w:after="100"/>
      </w:pPr>
      <w:r>
        <w:rPr>
          <w:rFonts w:ascii="Arial" w:cs="Arial" w:eastAsia="Arial" w:hAnsi="Arial"/>
          <w:b/>
          <w:bCs/>
          <w:color w:val="566573"/>
          <w:sz w:val="24"/>
          <w:szCs w:val="24"/>
        </w:rPr>
        <w:t xml:space="preserve">B1 — Log failed login attempts to audit_logs</w:t>
      </w:r>
    </w:p>
    <w:p>
      <w:pPr>
        <w:spacing w:before="0" w:after="160"/>
      </w:pPr>
      <w:r>
        <w:rPr>
          <w:rFonts w:ascii="Arial" w:cs="Arial" w:eastAsia="Arial" w:hAnsi="Arial"/>
          <w:sz w:val="24"/>
          <w:szCs w:val="24"/>
        </w:rPr>
        <w:t xml:space="preserve">In the login service method, after each failed password check, call auditLogService.log() with action: 'login:failed', resource: 'user', ipAddress, and the user ID (if found). This feeds into security dashboards and intrusion detection.</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src/auth/auth.service.ts, audit log service</w:t>
      </w:r>
    </w:p>
    <w:p>
      <w:pPr>
        <w:spacing w:before="80" w:after="0"/>
      </w:pPr>
    </w:p>
    <w:p>
      <w:pPr>
        <w:pStyle w:val="Heading3"/>
        <w:spacing w:before="200" w:after="100"/>
      </w:pPr>
      <w:r>
        <w:rPr>
          <w:rFonts w:ascii="Arial" w:cs="Arial" w:eastAsia="Arial" w:hAnsi="Arial"/>
          <w:b/>
          <w:bCs/>
          <w:color w:val="566573"/>
          <w:sz w:val="24"/>
          <w:szCs w:val="24"/>
        </w:rPr>
        <w:t xml:space="preserve">B2 — Active sessions endpoint</w:t>
      </w:r>
    </w:p>
    <w:p>
      <w:pPr>
        <w:spacing w:before="0" w:after="160"/>
      </w:pPr>
      <w:r>
        <w:rPr>
          <w:rFonts w:ascii="Arial" w:cs="Arial" w:eastAsia="Arial" w:hAnsi="Arial"/>
          <w:sz w:val="24"/>
          <w:szCs w:val="24"/>
        </w:rPr>
        <w:t xml:space="preserve">Add </w:t>
      </w:r>
      <w:r>
        <w:rPr>
          <w:rFonts w:ascii="Arial" w:cs="Arial" w:eastAsia="Arial" w:hAnsi="Arial"/>
          <w:b/>
          <w:bCs/>
          <w:sz w:val="24"/>
          <w:szCs w:val="24"/>
        </w:rPr>
        <w:t xml:space="preserve">GET /auth/sessions</w:t>
      </w:r>
      <w:r>
        <w:rPr>
          <w:rFonts w:ascii="Arial" w:cs="Arial" w:eastAsia="Arial" w:hAnsi="Arial"/>
          <w:sz w:val="24"/>
          <w:szCs w:val="24"/>
        </w:rPr>
        <w:t xml:space="preserve"> (JwtAuthGuard) to list the requesting user's active UserSession rows. Add </w:t>
      </w:r>
      <w:r>
        <w:rPr>
          <w:rFonts w:ascii="Arial" w:cs="Arial" w:eastAsia="Arial" w:hAnsi="Arial"/>
          <w:b/>
          <w:bCs/>
          <w:sz w:val="24"/>
          <w:szCs w:val="24"/>
        </w:rPr>
        <w:t xml:space="preserve">DELETE /auth/sessions/:id</w:t>
      </w:r>
      <w:r>
        <w:rPr>
          <w:rFonts w:ascii="Arial" w:cs="Arial" w:eastAsia="Arial" w:hAnsi="Arial"/>
          <w:sz w:val="24"/>
          <w:szCs w:val="24"/>
        </w:rPr>
        <w:t xml:space="preserve"> to revoke a specific session by UUID. Include device label, IP, last used date, and created date in the response so users can identify unfamiliar devices.</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src/auth/auth.controller.ts, auth.service.ts</w:t>
      </w:r>
    </w:p>
    <w:p>
      <w:pPr>
        <w:spacing w:before="80" w:after="0"/>
      </w:pPr>
    </w:p>
    <w:p>
      <w:pPr>
        <w:pStyle w:val="Heading3"/>
        <w:spacing w:before="200" w:after="100"/>
      </w:pPr>
      <w:r>
        <w:rPr>
          <w:rFonts w:ascii="Arial" w:cs="Arial" w:eastAsia="Arial" w:hAnsi="Arial"/>
          <w:b/>
          <w:bCs/>
          <w:color w:val="566573"/>
          <w:sz w:val="24"/>
          <w:szCs w:val="24"/>
        </w:rPr>
        <w:t xml:space="preserve">B3 — Sliding inactivity window on refresh</w:t>
      </w:r>
    </w:p>
    <w:p>
      <w:pPr>
        <w:spacing w:before="0" w:after="160"/>
      </w:pPr>
      <w:r>
        <w:rPr>
          <w:rFonts w:ascii="Arial" w:cs="Arial" w:eastAsia="Arial" w:hAnsi="Arial"/>
          <w:sz w:val="24"/>
          <w:szCs w:val="24"/>
        </w:rPr>
        <w:t xml:space="preserve">Add an inactivityExpiryDays configurable setting (default 7 days). On every POST /auth/refresh call, if lastUsedAt is older than inactivityExpiryDays, reject the token and set revokedAt. Update lastUsedAt on every successful refresh.</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src/auth/auth.service.ts (refreshToken method), user_sessions table migration</w:t>
      </w:r>
    </w:p>
    <w:p>
      <w:pPr>
        <w:spacing w:before="80" w:after="0"/>
      </w:pPr>
    </w:p>
    <w:p>
      <w:pPr>
        <w:pStyle w:val="Heading3"/>
        <w:spacing w:before="200" w:after="100"/>
      </w:pPr>
      <w:r>
        <w:rPr>
          <w:rFonts w:ascii="Arial" w:cs="Arial" w:eastAsia="Arial" w:hAnsi="Arial"/>
          <w:b/>
          <w:bCs/>
          <w:color w:val="566573"/>
          <w:sz w:val="24"/>
          <w:szCs w:val="24"/>
        </w:rPr>
        <w:t xml:space="preserve">B4 — Account lock notification email</w:t>
      </w:r>
    </w:p>
    <w:p>
      <w:pPr>
        <w:spacing w:before="0" w:after="160"/>
      </w:pPr>
      <w:r>
        <w:rPr>
          <w:rFonts w:ascii="Arial" w:cs="Arial" w:eastAsia="Arial" w:hAnsi="Arial"/>
          <w:sz w:val="24"/>
          <w:szCs w:val="24"/>
        </w:rPr>
        <w:t xml:space="preserve">When an account is locked after 5 failed attempts, send an email to the registered address notifying the user and providing a password reset link. This is standard UX and reduces support load.</w:t>
      </w:r>
    </w:p>
    <w:p>
      <w:pPr>
        <w:spacing w:before="0" w:after="160"/>
      </w:pPr>
      <w:r>
        <w:rPr>
          <w:rFonts w:ascii="Arial" w:cs="Arial" w:eastAsia="Arial" w:hAnsi="Arial"/>
          <w:b/>
          <w:bCs/>
          <w:color w:val="566573"/>
          <w:sz w:val="24"/>
          <w:szCs w:val="24"/>
        </w:rPr>
        <w:t xml:space="preserve">Files: </w:t>
      </w:r>
      <w:r>
        <w:rPr>
          <w:rFonts w:ascii="Arial" w:cs="Arial" w:eastAsia="Arial" w:hAnsi="Arial"/>
          <w:sz w:val="24"/>
          <w:szCs w:val="24"/>
        </w:rPr>
        <w:t xml:space="preserve">src/auth/auth.service.ts, email templates</w:t>
      </w:r>
    </w:p>
    <w:p>
      <w:pPr>
        <w:spacing w:before="200" w:after="0"/>
      </w:pPr>
    </w:p>
    <w:p>
      <w:pPr>
        <w:pStyle w:val="Heading2"/>
        <w:spacing w:before="280" w:after="120"/>
      </w:pPr>
      <w:r>
        <w:rPr>
          <w:rFonts w:ascii="Arial" w:cs="Arial" w:eastAsia="Arial" w:hAnsi="Arial"/>
          <w:b/>
          <w:bCs/>
          <w:color w:val="2E86C1"/>
          <w:sz w:val="28"/>
          <w:szCs w:val="28"/>
        </w:rPr>
        <w:t xml:space="preserve">Phase C — MFA Hardening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tcPr>
          <w:p>
            <w:pPr>
              <w:spacing w:before="0" w:after="0"/>
            </w:pPr>
            <w:r>
              <w:rPr>
                <w:rFonts w:ascii="Arial" w:cs="Arial" w:eastAsia="Arial" w:hAnsi="Arial"/>
                <w:b/>
                <w:bCs/>
                <w:color w:val="B7770D"/>
                <w:sz w:val="20"/>
                <w:szCs w:val="20"/>
              </w:rPr>
              <w:t xml:space="preserve">Priority</w:t>
            </w:r>
          </w:p>
          <w:p>
            <w:pPr>
              <w:spacing w:before="0" w:after="0"/>
            </w:pPr>
            <w:r>
              <w:rPr>
                <w:rFonts w:ascii="Arial" w:cs="Arial" w:eastAsia="Arial" w:hAnsi="Arial"/>
                <w:b/>
                <w:bCs/>
                <w:color w:val="B7770D"/>
                <w:sz w:val="28"/>
                <w:szCs w:val="28"/>
              </w:rPr>
              <w:t xml:space="preserve">MEDIUM</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Estimated effort</w:t>
            </w:r>
          </w:p>
          <w:p>
            <w:pPr>
              <w:spacing w:before="0" w:after="0"/>
            </w:pPr>
            <w:r>
              <w:rPr>
                <w:rFonts w:ascii="Arial" w:cs="Arial" w:eastAsia="Arial" w:hAnsi="Arial"/>
                <w:sz w:val="20"/>
                <w:szCs w:val="20"/>
              </w:rPr>
              <w:t xml:space="preserve">1–2 weeks</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Closes gaps</w:t>
            </w:r>
          </w:p>
          <w:p>
            <w:pPr>
              <w:spacing w:before="0" w:after="0"/>
            </w:pPr>
            <w:r>
              <w:rPr>
                <w:rFonts w:ascii="Arial" w:cs="Arial" w:eastAsia="Arial" w:hAnsi="Arial"/>
                <w:sz w:val="20"/>
                <w:szCs w:val="20"/>
              </w:rPr>
              <w:t xml:space="preserve">P1, P2, P3</w:t>
            </w:r>
          </w:p>
        </w:tc>
      </w:tr>
    </w:tbl>
    <w:p>
      <w:pPr>
        <w:spacing w:before="120" w:after="0"/>
      </w:pPr>
    </w:p>
    <w:p>
      <w:pPr>
        <w:pStyle w:val="Heading3"/>
        <w:spacing w:before="200" w:after="100"/>
      </w:pPr>
      <w:r>
        <w:rPr>
          <w:rFonts w:ascii="Arial" w:cs="Arial" w:eastAsia="Arial" w:hAnsi="Arial"/>
          <w:b/>
          <w:bCs/>
          <w:color w:val="566573"/>
          <w:sz w:val="24"/>
          <w:szCs w:val="24"/>
        </w:rPr>
        <w:t xml:space="preserve">C1 — TOTP support (Google Authenticator / Authy)</w:t>
      </w:r>
    </w:p>
    <w:p>
      <w:pPr>
        <w:spacing w:before="0" w:after="160"/>
      </w:pPr>
      <w:r>
        <w:rPr>
          <w:rFonts w:ascii="Arial" w:cs="Arial" w:eastAsia="Arial" w:hAnsi="Arial"/>
          <w:sz w:val="24"/>
          <w:szCs w:val="24"/>
        </w:rPr>
        <w:t xml:space="preserve">Add speakeasy or otplib library. On POST /auth/mfa/setup, generate a TOTP secret and return a QR code URI. User scans it and confirms with a code. Store the encrypted TOTP secret on the User entity. On login, if twoFactorAuthentication is true and mfaType is TOTP, validate a 6-digit TOTP code instead of the email OTP.</w:t>
      </w:r>
    </w:p>
    <w:p>
      <w:pPr>
        <w:spacing w:before="80" w:after="0"/>
      </w:pPr>
    </w:p>
    <w:p>
      <w:pPr>
        <w:pStyle w:val="Heading3"/>
        <w:spacing w:before="200" w:after="100"/>
      </w:pPr>
      <w:r>
        <w:rPr>
          <w:rFonts w:ascii="Arial" w:cs="Arial" w:eastAsia="Arial" w:hAnsi="Arial"/>
          <w:b/>
          <w:bCs/>
          <w:color w:val="566573"/>
          <w:sz w:val="24"/>
          <w:szCs w:val="24"/>
        </w:rPr>
        <w:t xml:space="preserve">C2 — Backup recovery codes</w:t>
      </w:r>
    </w:p>
    <w:p>
      <w:pPr>
        <w:spacing w:before="0" w:after="160"/>
      </w:pPr>
      <w:r>
        <w:rPr>
          <w:rFonts w:ascii="Arial" w:cs="Arial" w:eastAsia="Arial" w:hAnsi="Arial"/>
          <w:sz w:val="24"/>
          <w:szCs w:val="24"/>
        </w:rPr>
        <w:t xml:space="preserve">On MFA setup (both email OTP and TOTP), generate 8 one-time recovery codes using crypto.randomBytes. Store bcrypt hashes in a mfa_recovery_codes table. When a recovery code is used, mark it as used. Show raw codes to the user once at setup time.</w:t>
      </w:r>
    </w:p>
    <w:p>
      <w:pPr>
        <w:spacing w:before="80" w:after="0"/>
      </w:pPr>
    </w:p>
    <w:p>
      <w:pPr>
        <w:pStyle w:val="Heading3"/>
        <w:spacing w:before="200" w:after="100"/>
      </w:pPr>
      <w:r>
        <w:rPr>
          <w:rFonts w:ascii="Arial" w:cs="Arial" w:eastAsia="Arial" w:hAnsi="Arial"/>
          <w:b/>
          <w:bCs/>
          <w:color w:val="566573"/>
          <w:sz w:val="24"/>
          <w:szCs w:val="24"/>
        </w:rPr>
        <w:t xml:space="preserve">C3 — MFA enforcement policy per school</w:t>
      </w:r>
    </w:p>
    <w:p>
      <w:pPr>
        <w:spacing w:before="0" w:after="160"/>
      </w:pPr>
      <w:r>
        <w:rPr>
          <w:rFonts w:ascii="Arial" w:cs="Arial" w:eastAsia="Arial" w:hAnsi="Arial"/>
          <w:sz w:val="24"/>
          <w:szCs w:val="24"/>
        </w:rPr>
        <w:t xml:space="preserve">Add an mfaRequiredForRoles jsonb column to the schools table (e.g., ["school-admin", "teacher"]). In the login flow, after validating credentials, check if the user's roles include any role listed in mfaRequiredForRoles for their school. If so, force the MFA challenge regardless of their personal twoFactorAuthentication setting.</w:t>
      </w:r>
    </w:p>
    <w:p>
      <w:pPr>
        <w:spacing w:before="200" w:after="0"/>
      </w:pPr>
    </w:p>
    <w:p>
      <w:pPr>
        <w:pStyle w:val="Heading2"/>
        <w:spacing w:before="280" w:after="120"/>
      </w:pPr>
      <w:r>
        <w:rPr>
          <w:rFonts w:ascii="Arial" w:cs="Arial" w:eastAsia="Arial" w:hAnsi="Arial"/>
          <w:b/>
          <w:bCs/>
          <w:color w:val="2E86C1"/>
          <w:sz w:val="28"/>
          <w:szCs w:val="28"/>
        </w:rPr>
        <w:t xml:space="preserve">Phase D — Tenant Password Policy Engine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Priority</w:t>
            </w:r>
          </w:p>
          <w:p>
            <w:pPr>
              <w:spacing w:before="0" w:after="0"/>
            </w:pPr>
            <w:r>
              <w:rPr>
                <w:rFonts w:ascii="Arial" w:cs="Arial" w:eastAsia="Arial" w:hAnsi="Arial"/>
                <w:b/>
                <w:bCs/>
                <w:color w:val="566573"/>
                <w:sz w:val="28"/>
                <w:szCs w:val="28"/>
              </w:rPr>
              <w:t xml:space="preserve">MEDIUM</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Estimated effort</w:t>
            </w:r>
          </w:p>
          <w:p>
            <w:pPr>
              <w:spacing w:before="0" w:after="0"/>
            </w:pPr>
            <w:r>
              <w:rPr>
                <w:rFonts w:ascii="Arial" w:cs="Arial" w:eastAsia="Arial" w:hAnsi="Arial"/>
                <w:sz w:val="20"/>
                <w:szCs w:val="20"/>
              </w:rPr>
              <w:t xml:space="preserve">1 week</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Closes gaps</w:t>
            </w:r>
          </w:p>
          <w:p>
            <w:pPr>
              <w:spacing w:before="0" w:after="0"/>
            </w:pPr>
            <w:r>
              <w:rPr>
                <w:rFonts w:ascii="Arial" w:cs="Arial" w:eastAsia="Arial" w:hAnsi="Arial"/>
                <w:sz w:val="20"/>
                <w:szCs w:val="20"/>
              </w:rPr>
              <w:t xml:space="preserve">P4</w:t>
            </w:r>
          </w:p>
        </w:tc>
      </w:tr>
    </w:tbl>
    <w:p>
      <w:pPr>
        <w:spacing w:before="120" w:after="0"/>
      </w:pPr>
    </w:p>
    <w:p>
      <w:pPr>
        <w:pStyle w:val="Heading3"/>
        <w:spacing w:before="200" w:after="100"/>
      </w:pPr>
      <w:r>
        <w:rPr>
          <w:rFonts w:ascii="Arial" w:cs="Arial" w:eastAsia="Arial" w:hAnsi="Arial"/>
          <w:b/>
          <w:bCs/>
          <w:color w:val="566573"/>
          <w:sz w:val="24"/>
          <w:szCs w:val="24"/>
        </w:rPr>
        <w:t xml:space="preserve">D1 — Password policy entity and service</w:t>
      </w:r>
    </w:p>
    <w:p>
      <w:pPr>
        <w:spacing w:before="0" w:after="160"/>
      </w:pPr>
      <w:r>
        <w:rPr>
          <w:rFonts w:ascii="Arial" w:cs="Arial" w:eastAsia="Arial" w:hAnsi="Arial"/>
          <w:sz w:val="24"/>
          <w:szCs w:val="24"/>
        </w:rPr>
        <w:t xml:space="preserve">Create a PasswordPolicy entity (minLength, requireUppercase, requireDigit, requireSpecial, maxAgeDays, preventReuse) linked to each School. Implement a PasswordPolicyService.validate(password, policy) method. Call it in all password-setting flows (accept invite, reset, change). Expose a PATCH /schools/:id/password-policy endpoint for school admins.</w:t>
      </w:r>
    </w:p>
    <w:p>
      <w:pPr>
        <w:spacing w:before="80" w:after="0"/>
      </w:pPr>
    </w:p>
    <w:p>
      <w:pPr>
        <w:pStyle w:val="Heading3"/>
        <w:spacing w:before="200" w:after="100"/>
      </w:pPr>
      <w:r>
        <w:rPr>
          <w:rFonts w:ascii="Arial" w:cs="Arial" w:eastAsia="Arial" w:hAnsi="Arial"/>
          <w:b/>
          <w:bCs/>
          <w:color w:val="566573"/>
          <w:sz w:val="24"/>
          <w:szCs w:val="24"/>
        </w:rPr>
        <w:t xml:space="preserve">D2 — Password history / prevent reuse</w:t>
      </w:r>
    </w:p>
    <w:p>
      <w:pPr>
        <w:spacing w:before="0" w:after="160"/>
      </w:pPr>
      <w:r>
        <w:rPr>
          <w:rFonts w:ascii="Arial" w:cs="Arial" w:eastAsia="Arial" w:hAnsi="Arial"/>
          <w:sz w:val="24"/>
          <w:szCs w:val="24"/>
        </w:rPr>
        <w:t xml:space="preserve">Create a password_history table (user_id, passwordHash, createdAt). On every password change, check the new hash against the last N hashes (N = policy.preventReuse). Add a new row on success.</w:t>
      </w:r>
    </w:p>
    <w:p>
      <w:pPr>
        <w:spacing w:before="80" w:after="0"/>
      </w:pPr>
    </w:p>
    <w:p>
      <w:pPr>
        <w:pStyle w:val="Heading3"/>
        <w:spacing w:before="200" w:after="100"/>
      </w:pPr>
      <w:r>
        <w:rPr>
          <w:rFonts w:ascii="Arial" w:cs="Arial" w:eastAsia="Arial" w:hAnsi="Arial"/>
          <w:b/>
          <w:bCs/>
          <w:color w:val="566573"/>
          <w:sz w:val="24"/>
          <w:szCs w:val="24"/>
        </w:rPr>
        <w:t xml:space="preserve">D3 — Password expiry enforcement</w:t>
      </w:r>
    </w:p>
    <w:p>
      <w:pPr>
        <w:spacing w:before="0" w:after="160"/>
      </w:pPr>
      <w:r>
        <w:rPr>
          <w:rFonts w:ascii="Arial" w:cs="Arial" w:eastAsia="Arial" w:hAnsi="Arial"/>
          <w:sz w:val="24"/>
          <w:szCs w:val="24"/>
        </w:rPr>
        <w:t xml:space="preserve">If policy.maxAgeDays is set and passwordLastChangedAt + maxAgeDays &lt; now, redirect the user to a forced password change flow on next login. Add passwordLastChangedAt to the User entity and update it on every successful password change.</w:t>
      </w:r>
    </w:p>
    <w:p>
      <w:pPr>
        <w:spacing w:before="200" w:after="0"/>
      </w:pPr>
    </w:p>
    <w:p>
      <w:pPr>
        <w:pStyle w:val="Heading2"/>
        <w:spacing w:before="280" w:after="120"/>
      </w:pPr>
      <w:r>
        <w:rPr>
          <w:rFonts w:ascii="Arial" w:cs="Arial" w:eastAsia="Arial" w:hAnsi="Arial"/>
          <w:b/>
          <w:bCs/>
          <w:color w:val="2E86C1"/>
          <w:sz w:val="28"/>
          <w:szCs w:val="28"/>
        </w:rPr>
        <w:t xml:space="preserve">Phase E — OAuth2 / OIDC / SSO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Priority</w:t>
            </w:r>
          </w:p>
          <w:p>
            <w:pPr>
              <w:spacing w:before="0" w:after="0"/>
            </w:pPr>
            <w:r>
              <w:rPr>
                <w:rFonts w:ascii="Arial" w:cs="Arial" w:eastAsia="Arial" w:hAnsi="Arial"/>
                <w:b/>
                <w:bCs/>
                <w:color w:val="566573"/>
                <w:sz w:val="22"/>
                <w:szCs w:val="22"/>
              </w:rPr>
              <w:t xml:space="preserve">LOW / STRATEGIC</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Estimated effort</w:t>
            </w:r>
          </w:p>
          <w:p>
            <w:pPr>
              <w:spacing w:before="0" w:after="0"/>
            </w:pPr>
            <w:r>
              <w:rPr>
                <w:rFonts w:ascii="Arial" w:cs="Arial" w:eastAsia="Arial" w:hAnsi="Arial"/>
                <w:sz w:val="20"/>
                <w:szCs w:val="20"/>
              </w:rPr>
              <w:t xml:space="preserve">2–4 weeks</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Closes gaps</w:t>
            </w:r>
          </w:p>
          <w:p>
            <w:pPr>
              <w:spacing w:before="0" w:after="0"/>
            </w:pPr>
            <w:r>
              <w:rPr>
                <w:rFonts w:ascii="Arial" w:cs="Arial" w:eastAsia="Arial" w:hAnsi="Arial"/>
                <w:sz w:val="20"/>
                <w:szCs w:val="20"/>
              </w:rPr>
              <w:t xml:space="preserve">P5</w:t>
            </w:r>
          </w:p>
        </w:tc>
      </w:tr>
    </w:tbl>
    <w:p>
      <w:pPr>
        <w:spacing w:before="120" w:after="0"/>
      </w:pPr>
    </w:p>
    <w:p>
      <w:pPr>
        <w:pStyle w:val="Heading3"/>
        <w:spacing w:before="200" w:after="100"/>
      </w:pPr>
      <w:r>
        <w:rPr>
          <w:rFonts w:ascii="Arial" w:cs="Arial" w:eastAsia="Arial" w:hAnsi="Arial"/>
          <w:b/>
          <w:bCs/>
          <w:color w:val="566573"/>
          <w:sz w:val="24"/>
          <w:szCs w:val="24"/>
        </w:rPr>
        <w:t xml:space="preserve">E1 — Google OAuth2 / OIDC (priority provider)</w:t>
      </w:r>
    </w:p>
    <w:p>
      <w:pPr>
        <w:spacing w:before="0" w:after="160"/>
      </w:pPr>
      <w:r>
        <w:rPr>
          <w:rFonts w:ascii="Arial" w:cs="Arial" w:eastAsia="Arial" w:hAnsi="Arial"/>
          <w:sz w:val="24"/>
          <w:szCs w:val="24"/>
        </w:rPr>
        <w:t xml:space="preserve">Add passport-google-oauth20 strategy. On callback, look up user by email. If found and emailVerified, create a UserSession and return token pair. If not found, reject (no auto-provisioning — users must be invited first). Store googleId on the User entity for future account linking.</w:t>
      </w:r>
    </w:p>
    <w:p>
      <w:pPr>
        <w:spacing w:before="80" w:after="0"/>
      </w:pPr>
    </w:p>
    <w:p>
      <w:pPr>
        <w:pStyle w:val="Heading3"/>
        <w:spacing w:before="200" w:after="100"/>
      </w:pPr>
      <w:r>
        <w:rPr>
          <w:rFonts w:ascii="Arial" w:cs="Arial" w:eastAsia="Arial" w:hAnsi="Arial"/>
          <w:b/>
          <w:bCs/>
          <w:color w:val="566573"/>
          <w:sz w:val="24"/>
          <w:szCs w:val="24"/>
        </w:rPr>
        <w:t xml:space="preserve">E2 — Microsoft Azure AD / Entra ID</w:t>
      </w:r>
    </w:p>
    <w:p>
      <w:pPr>
        <w:spacing w:before="0" w:after="160"/>
      </w:pPr>
      <w:r>
        <w:rPr>
          <w:rFonts w:ascii="Arial" w:cs="Arial" w:eastAsia="Arial" w:hAnsi="Arial"/>
          <w:sz w:val="24"/>
          <w:szCs w:val="24"/>
        </w:rPr>
        <w:t xml:space="preserve">Add passport-azure-ad strategy for Microsoft 365 schools. Same flow as Google — invite-first, then SSO. Add tenantId (Azure) to School entity for multi-tenant Azure AD federation.</w:t>
      </w:r>
    </w:p>
    <w:p>
      <w:pPr>
        <w:spacing w:before="80" w:after="0"/>
      </w:pPr>
    </w:p>
    <w:p>
      <w:pPr>
        <w:pStyle w:val="Heading3"/>
        <w:spacing w:before="200" w:after="100"/>
      </w:pPr>
      <w:r>
        <w:rPr>
          <w:rFonts w:ascii="Arial" w:cs="Arial" w:eastAsia="Arial" w:hAnsi="Arial"/>
          <w:b/>
          <w:bCs/>
          <w:color w:val="566573"/>
          <w:sz w:val="24"/>
          <w:szCs w:val="24"/>
        </w:rPr>
        <w:t xml:space="preserve">E3 — Per-school SSO configuration</w:t>
      </w:r>
    </w:p>
    <w:p>
      <w:pPr>
        <w:spacing w:before="0" w:after="160"/>
      </w:pPr>
      <w:r>
        <w:rPr>
          <w:rFonts w:ascii="Arial" w:cs="Arial" w:eastAsia="Arial" w:hAnsi="Arial"/>
          <w:sz w:val="24"/>
          <w:szCs w:val="24"/>
        </w:rPr>
        <w:t xml:space="preserve">Add SsoConfig entity (provider, clientId, clientSecret encrypted, tenantId, enabled). School admins configure SSO from admin UI. Add a break-glass password login option even when SSO is mandatory, accessible only to super-admins, in case IdP is unavailable.</w:t>
      </w:r>
    </w:p>
    <w:p>
      <w:pPr>
        <w:spacing w:before="80" w:after="0"/>
      </w:pPr>
    </w:p>
    <w:p>
      <w:pPr>
        <w:pStyle w:val="Heading3"/>
        <w:spacing w:before="200" w:after="100"/>
      </w:pPr>
      <w:r>
        <w:rPr>
          <w:rFonts w:ascii="Arial" w:cs="Arial" w:eastAsia="Arial" w:hAnsi="Arial"/>
          <w:b/>
          <w:bCs/>
          <w:color w:val="566573"/>
          <w:sz w:val="24"/>
          <w:szCs w:val="24"/>
        </w:rPr>
        <w:t xml:space="preserve">E4 — PKCE for authorization code flow</w:t>
      </w:r>
    </w:p>
    <w:p>
      <w:pPr>
        <w:spacing w:before="0" w:after="160"/>
      </w:pPr>
      <w:r>
        <w:rPr>
          <w:rFonts w:ascii="Arial" w:cs="Arial" w:eastAsia="Arial" w:hAnsi="Arial"/>
          <w:sz w:val="24"/>
          <w:szCs w:val="24"/>
        </w:rPr>
        <w:t xml:space="preserve">All OAuth2 flows must use PKCE (RFC 7636) with code_challenge_method=S256. This prevents authorization code interception attacks in mobile and SPA clients.</w:t>
      </w:r>
    </w:p>
    <w:p>
      <w:pPr>
        <w:spacing w:before="200" w:after="0"/>
      </w:pPr>
    </w:p>
    <w:p>
      <w:pPr>
        <w:pStyle w:val="Heading2"/>
        <w:spacing w:before="280" w:after="120"/>
      </w:pPr>
      <w:r>
        <w:rPr>
          <w:rFonts w:ascii="Arial" w:cs="Arial" w:eastAsia="Arial" w:hAnsi="Arial"/>
          <w:b/>
          <w:bCs/>
          <w:color w:val="2E86C1"/>
          <w:sz w:val="28"/>
          <w:szCs w:val="28"/>
        </w:rPr>
        <w:t xml:space="preserve">Phase F — Compliance &amp; Assurance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Priority</w:t>
            </w:r>
          </w:p>
          <w:p>
            <w:pPr>
              <w:spacing w:before="0" w:after="0"/>
            </w:pPr>
            <w:r>
              <w:rPr>
                <w:rFonts w:ascii="Arial" w:cs="Arial" w:eastAsia="Arial" w:hAnsi="Arial"/>
                <w:b/>
                <w:bCs/>
                <w:color w:val="566573"/>
                <w:sz w:val="28"/>
                <w:szCs w:val="28"/>
              </w:rPr>
              <w:t xml:space="preserve">ONGOING</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Estimated effort</w:t>
            </w:r>
          </w:p>
          <w:p>
            <w:pPr>
              <w:spacing w:before="0" w:after="0"/>
            </w:pPr>
            <w:r>
              <w:rPr>
                <w:rFonts w:ascii="Arial" w:cs="Arial" w:eastAsia="Arial" w:hAnsi="Arial"/>
                <w:sz w:val="20"/>
                <w:szCs w:val="20"/>
              </w:rPr>
              <w:t xml:space="preserve">External engagement</w:t>
            </w:r>
          </w:p>
        </w:tc>
        <w:tc>
          <w:tcPr>
            <w:tcW w:type="dxa" w:w="3780"/>
            <w:tcBorders>
              <w:top w:val="single" w:color="AEB6BF" w:sz="1"/>
              <w:left w:val="single" w:color="AEB6BF" w:sz="1"/>
              <w:bottom w:val="single" w:color="AEB6BF" w:sz="1"/>
              <w:right w:val="single" w:color="AEB6BF" w:sz="1"/>
            </w:tcBorders>
            <w:tcMar>
              <w:top w:type="dxa" w:w="80"/>
              <w:left w:type="dxa" w:w="120"/>
              <w:bottom w:type="dxa" w:w="80"/>
              <w:right w:type="dxa" w:w="120"/>
            </w:tcMar>
          </w:tcPr>
          <w:p>
            <w:pPr>
              <w:spacing w:before="0" w:after="0"/>
            </w:pPr>
            <w:r>
              <w:rPr>
                <w:rFonts w:ascii="Arial" w:cs="Arial" w:eastAsia="Arial" w:hAnsi="Arial"/>
                <w:b/>
                <w:bCs/>
                <w:color w:val="566573"/>
                <w:sz w:val="20"/>
                <w:szCs w:val="20"/>
              </w:rPr>
              <w:t xml:space="preserve">Closes gaps</w:t>
            </w:r>
          </w:p>
          <w:p>
            <w:pPr>
              <w:spacing w:before="0" w:after="0"/>
            </w:pPr>
            <w:r>
              <w:rPr>
                <w:rFonts w:ascii="Arial" w:cs="Arial" w:eastAsia="Arial" w:hAnsi="Arial"/>
                <w:sz w:val="20"/>
                <w:szCs w:val="20"/>
              </w:rPr>
              <w:t xml:space="preserve">P6</w:t>
            </w:r>
          </w:p>
        </w:tc>
      </w:tr>
    </w:tbl>
    <w:p>
      <w:pPr>
        <w:spacing w:before="120" w:after="0"/>
      </w:pPr>
    </w:p>
    <w:p>
      <w:pPr>
        <w:pStyle w:val="ListParagraph"/>
        <w:numPr>
          <w:ilvl w:val="0"/>
          <w:numId w:val="2"/>
        </w:numPr>
        <w:spacing w:before="0" w:after="80"/>
      </w:pPr>
      <w:r>
        <w:rPr>
          <w:rFonts w:ascii="Arial" w:cs="Arial" w:eastAsia="Arial" w:hAnsi="Arial"/>
          <w:sz w:val="24"/>
          <w:szCs w:val="24"/>
        </w:rPr>
        <w:t xml:space="preserve">Commission an independent penetration test against OWASP Top 10 and ASVS Level 2 after Phase A and B are complete.</w:t>
      </w:r>
    </w:p>
    <w:p>
      <w:pPr>
        <w:pStyle w:val="ListParagraph"/>
        <w:numPr>
          <w:ilvl w:val="0"/>
          <w:numId w:val="2"/>
        </w:numPr>
        <w:spacing w:before="0" w:after="80"/>
      </w:pPr>
      <w:r>
        <w:rPr>
          <w:rFonts w:ascii="Arial" w:cs="Arial" w:eastAsia="Arial" w:hAnsi="Arial"/>
          <w:sz w:val="24"/>
          <w:szCs w:val="24"/>
        </w:rPr>
        <w:t xml:space="preserve">Conduct a GDPR / Rwanda Law N° 058/2021 Data Impact Assessment (DPIA) focused on children's data (Article 9 equivalent categories).</w:t>
      </w:r>
    </w:p>
    <w:p>
      <w:pPr>
        <w:pStyle w:val="ListParagraph"/>
        <w:numPr>
          <w:ilvl w:val="0"/>
          <w:numId w:val="2"/>
        </w:numPr>
        <w:spacing w:before="0" w:after="80"/>
      </w:pPr>
      <w:r>
        <w:rPr>
          <w:rFonts w:ascii="Arial" w:cs="Arial" w:eastAsia="Arial" w:hAnsi="Arial"/>
          <w:sz w:val="24"/>
          <w:szCs w:val="24"/>
        </w:rPr>
        <w:t xml:space="preserve">Implement structured security logging to a SIEM (failed logins, token revocations, permission denials, admin actions) for real-time alerting.</w:t>
      </w:r>
    </w:p>
    <w:p>
      <w:pPr>
        <w:pStyle w:val="ListParagraph"/>
        <w:numPr>
          <w:ilvl w:val="0"/>
          <w:numId w:val="2"/>
        </w:numPr>
        <w:spacing w:before="0" w:after="80"/>
      </w:pPr>
      <w:r>
        <w:rPr>
          <w:rFonts w:ascii="Arial" w:cs="Arial" w:eastAsia="Arial" w:hAnsi="Arial"/>
          <w:sz w:val="24"/>
          <w:szCs w:val="24"/>
        </w:rPr>
        <w:t xml:space="preserve">Establish a vulnerability disclosure policy and private responsible-disclosure channel before public launch.</w:t>
      </w:r>
    </w:p>
    <w:p>
      <w:pPr>
        <w:pStyle w:val="ListParagraph"/>
        <w:numPr>
          <w:ilvl w:val="0"/>
          <w:numId w:val="2"/>
        </w:numPr>
        <w:spacing w:before="0" w:after="80"/>
      </w:pPr>
      <w:r>
        <w:rPr>
          <w:rFonts w:ascii="Arial" w:cs="Arial" w:eastAsia="Arial" w:hAnsi="Arial"/>
          <w:sz w:val="24"/>
          <w:szCs w:val="24"/>
        </w:rPr>
        <w:t xml:space="preserve">Document a data breach response plan (72-hour notification requirement under GDPR-equivalent laws).</w:t>
      </w:r>
    </w:p>
    <w:p>
      <w:pPr>
        <w:spacing w:before="120" w:after="0"/>
      </w:pPr>
    </w:p>
    <w:p>
      <w:r>
        <w:br w:type="page"/>
      </w:r>
    </w:p>
    <w:p>
      <w:pPr>
        <w:pStyle w:val="Heading1"/>
        <w:spacing w:before="360" w:after="160"/>
      </w:pPr>
      <w:r>
        <w:rPr>
          <w:rFonts w:ascii="Arial" w:cs="Arial" w:eastAsia="Arial" w:hAnsi="Arial"/>
          <w:b/>
          <w:bCs/>
          <w:color w:val="1A5276"/>
          <w:sz w:val="32"/>
          <w:szCs w:val="32"/>
        </w:rPr>
        <w:t xml:space="preserve">6. Delivery Timeline</w:t>
      </w:r>
    </w:p>
    <w:p>
      <w:pPr>
        <w:pBdr>
          <w:bottom w:val="single" w:color="2E86C1" w:sz="4" w:space="1"/>
        </w:pBdr>
        <w:spacing w:before="120" w:after="12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Phase</w:t>
            </w:r>
          </w:p>
        </w:tc>
        <w:tc>
          <w:tcPr>
            <w:tcW w:type="dxa" w:w="45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Scope</w:t>
            </w:r>
          </w:p>
        </w:tc>
        <w:tc>
          <w:tcPr>
            <w:tcW w:type="dxa" w:w="14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Effort</w:t>
            </w:r>
          </w:p>
        </w:tc>
        <w:tc>
          <w:tcPr>
            <w:tcW w:type="dxa" w:w="22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Target State After</w:t>
            </w:r>
          </w:p>
        </w:tc>
      </w:tr>
      <w:tr>
        <w:tc>
          <w:tcPr>
            <w:tcW w:type="dxa" w:w="120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A</w:t>
            </w:r>
          </w:p>
        </w:tc>
        <w:tc>
          <w:tcPr>
            <w:tcW w:type="dxa" w:w="45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Helmet, CORS, timing oracle fix, one-time reset tokens, ReauthGuard on changePassword, bcrypt 12, password min length</w:t>
            </w:r>
          </w:p>
        </w:tc>
        <w:tc>
          <w:tcPr>
            <w:tcW w:type="dxa" w:w="14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1–2 days</w:t>
            </w:r>
          </w:p>
        </w:tc>
        <w:tc>
          <w:tcPr>
            <w:tcW w:type="dxa" w:w="22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~80/100 — Deployable</w:t>
            </w:r>
          </w:p>
        </w:tc>
      </w:tr>
      <w:tr>
        <w:tc>
          <w:tcPr>
            <w:tcW w:type="dxa" w:w="12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B</w:t>
            </w:r>
          </w:p>
        </w:tc>
        <w:tc>
          <w:tcPr>
            <w:tcW w:type="dxa" w:w="45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Failed-login audit, active sessions UI, inactivity expiry, account lock email</w:t>
            </w:r>
          </w:p>
        </w:tc>
        <w:tc>
          <w:tcPr>
            <w:tcW w:type="dxa" w:w="14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3–5 days</w:t>
            </w:r>
          </w:p>
        </w:tc>
        <w:tc>
          <w:tcPr>
            <w:tcW w:type="dxa" w:w="22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~88/100 — Production-grade</w:t>
            </w:r>
          </w:p>
        </w:tc>
      </w:tr>
      <w:tr>
        <w:tc>
          <w:tcPr>
            <w:tcW w:type="dxa" w:w="1200"/>
            <w:tcBorders>
              <w:top w:val="single" w:color="AEB6BF" w:sz="1"/>
              <w:left w:val="single" w:color="AEB6BF" w:sz="1"/>
              <w:bottom w:val="single" w:color="AEB6BF" w:sz="1"/>
              <w:right w:val="single" w:color="AEB6BF" w:sz="1"/>
            </w:tcBorders>
            <w:shd w:fill="FDEBD0"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C</w:t>
            </w:r>
          </w:p>
        </w:tc>
        <w:tc>
          <w:tcPr>
            <w:tcW w:type="dxa" w:w="45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TOTP, backup codes, role-based MFA enforcement</w:t>
            </w:r>
          </w:p>
        </w:tc>
        <w:tc>
          <w:tcPr>
            <w:tcW w:type="dxa" w:w="14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1–2 weeks</w:t>
            </w:r>
          </w:p>
        </w:tc>
        <w:tc>
          <w:tcPr>
            <w:tcW w:type="dxa" w:w="220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~93/100 — Enterprise-ready</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D</w:t>
            </w:r>
          </w:p>
        </w:tc>
        <w:tc>
          <w:tcPr>
            <w:tcW w:type="dxa" w:w="4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Tenant password policies, history, expiry</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1 week</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~95/100</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E</w:t>
            </w:r>
          </w:p>
        </w:tc>
        <w:tc>
          <w:tcPr>
            <w:tcW w:type="dxa" w:w="4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Google SSO, Azure AD, PKCE, per-school config</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2–4 weeks</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~98/100 — Global enterprise standard</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Phase F</w:t>
            </w:r>
          </w:p>
        </w:tc>
        <w:tc>
          <w:tcPr>
            <w:tcW w:type="dxa" w:w="4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Penetration test, DPIA, SIEM, breach plan</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External / ongoing</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100/100 — Compliance-certified</w:t>
            </w:r>
          </w:p>
        </w:tc>
      </w:tr>
    </w:tbl>
    <w:p>
      <w:pPr>
        <w:spacing w:before="200" w:after="0"/>
      </w:pPr>
    </w:p>
    <w:p>
      <w:r>
        <w:br w:type="page"/>
      </w:r>
    </w:p>
    <w:p>
      <w:pPr>
        <w:pStyle w:val="Heading1"/>
        <w:spacing w:before="360" w:after="160"/>
      </w:pPr>
      <w:r>
        <w:rPr>
          <w:rFonts w:ascii="Arial" w:cs="Arial" w:eastAsia="Arial" w:hAnsi="Arial"/>
          <w:b/>
          <w:bCs/>
          <w:color w:val="1A5276"/>
          <w:sz w:val="32"/>
          <w:szCs w:val="32"/>
        </w:rPr>
        <w:t xml:space="preserve">7. Standards Reference</w:t>
      </w:r>
    </w:p>
    <w:p>
      <w:pPr>
        <w:pBdr>
          <w:bottom w:val="single" w:color="2E86C1" w:sz="4" w:space="1"/>
        </w:pBdr>
        <w:spacing w:before="120" w:after="12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Standard</w:t>
            </w:r>
          </w:p>
        </w:tc>
        <w:tc>
          <w:tcPr>
            <w:tcW w:type="dxa" w:w="6360"/>
            <w:tcBorders>
              <w:top w:val="single" w:color="AEB6BF" w:sz="1"/>
              <w:left w:val="single" w:color="AEB6BF" w:sz="1"/>
              <w:bottom w:val="single" w:color="AEB6BF" w:sz="1"/>
              <w:right w:val="single" w:color="AEB6BF" w:sz="1"/>
            </w:tcBorders>
            <w:shd w:fill="1A5276"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2"/>
                <w:szCs w:val="22"/>
              </w:rPr>
              <w:t xml:space="preserve">Relevance to Kindora</w:t>
            </w:r>
          </w:p>
        </w:tc>
      </w:tr>
      <w:tr>
        <w:tc>
          <w:tcPr>
            <w:tcW w:type="dxa" w:w="30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ASVS Level 2 (Application Security Verification Standard)</w:t>
            </w:r>
          </w:p>
        </w:tc>
        <w:tc>
          <w:tcPr>
            <w:tcW w:type="dxa" w:w="6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Primary benchmark for all authentication, session management, and authorisation controls</w:t>
            </w:r>
          </w:p>
        </w:tc>
      </w:tr>
      <w:tr>
        <w:tc>
          <w:tcPr>
            <w:tcW w:type="dxa" w:w="30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NIST SP 800-63B (Digital Identity Guidelines)</w:t>
            </w:r>
          </w:p>
        </w:tc>
        <w:tc>
          <w:tcPr>
            <w:tcW w:type="dxa" w:w="6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Password hashing, MFA requirements, authentication assurance levels</w:t>
            </w:r>
          </w:p>
        </w:tc>
      </w:tr>
      <w:tr>
        <w:tc>
          <w:tcPr>
            <w:tcW w:type="dxa" w:w="30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Top 10 2021</w:t>
            </w:r>
          </w:p>
        </w:tc>
        <w:tc>
          <w:tcPr>
            <w:tcW w:type="dxa" w:w="6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Broken access control (A01), cryptographic failures (A02), injection (A03)</w:t>
            </w:r>
          </w:p>
        </w:tc>
      </w:tr>
      <w:tr>
        <w:tc>
          <w:tcPr>
            <w:tcW w:type="dxa" w:w="30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RFC 6749 / RFC 7636</w:t>
            </w:r>
          </w:p>
        </w:tc>
        <w:tc>
          <w:tcPr>
            <w:tcW w:type="dxa" w:w="6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OAuth 2.0 and PKCE — applies to Phase E SSO implementation</w:t>
            </w:r>
          </w:p>
        </w:tc>
      </w:tr>
      <w:tr>
        <w:tc>
          <w:tcPr>
            <w:tcW w:type="dxa" w:w="30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RFC 6819</w:t>
            </w:r>
          </w:p>
        </w:tc>
        <w:tc>
          <w:tcPr>
            <w:tcW w:type="dxa" w:w="6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OAuth 2.0 threat model — refresh token rotation, theft detection</w:t>
            </w:r>
          </w:p>
        </w:tc>
      </w:tr>
      <w:tr>
        <w:tc>
          <w:tcPr>
            <w:tcW w:type="dxa" w:w="30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Rwanda Law N° 058/2021</w:t>
            </w:r>
          </w:p>
        </w:tc>
        <w:tc>
          <w:tcPr>
            <w:tcW w:type="dxa" w:w="6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Data protection for Rwandan data subjects, including children's data</w:t>
            </w:r>
          </w:p>
        </w:tc>
      </w:tr>
      <w:tr>
        <w:tc>
          <w:tcPr>
            <w:tcW w:type="dxa" w:w="30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GDPR Articles 5, 9, 25, 32</w:t>
            </w:r>
          </w:p>
        </w:tc>
        <w:tc>
          <w:tcPr>
            <w:tcW w:type="dxa" w:w="6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Applies to EU data subjects; Article 9 for children's sensitive data; Article 25 for privacy by design</w:t>
            </w:r>
          </w:p>
        </w:tc>
      </w:tr>
      <w:tr>
        <w:tc>
          <w:tcPr>
            <w:tcW w:type="dxa" w:w="300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OWASP Password Cheat Sheet</w:t>
            </w:r>
          </w:p>
        </w:tc>
        <w:tc>
          <w:tcPr>
            <w:tcW w:type="dxa" w:w="6360"/>
            <w:tcBorders>
              <w:top w:val="single" w:color="AEB6BF" w:sz="1"/>
              <w:left w:val="single" w:color="AEB6BF" w:sz="1"/>
              <w:bottom w:val="single" w:color="AEB6BF" w:sz="1"/>
              <w:right w:val="single" w:color="AEB6BF" w:sz="1"/>
            </w:tcBorders>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22"/>
                <w:szCs w:val="22"/>
              </w:rPr>
              <w:t xml:space="preserve">bcrypt cost factor guidance, password complexity, storage</w:t>
            </w:r>
          </w:p>
        </w:tc>
      </w:tr>
    </w:tbl>
    <w:p>
      <w:pPr>
        <w:spacing w:before="200" w:after="0"/>
      </w:pPr>
    </w:p>
    <w:p>
      <w:pPr>
        <w:pStyle w:val="Heading1"/>
        <w:spacing w:before="360" w:after="160"/>
      </w:pPr>
      <w:r>
        <w:rPr>
          <w:rFonts w:ascii="Arial" w:cs="Arial" w:eastAsia="Arial" w:hAnsi="Arial"/>
          <w:b/>
          <w:bCs/>
          <w:color w:val="1A5276"/>
          <w:sz w:val="32"/>
          <w:szCs w:val="32"/>
        </w:rPr>
        <w:t xml:space="preserve">8. Appendix — Implementation Quick Reference</w:t>
      </w:r>
    </w:p>
    <w:p>
      <w:pPr>
        <w:pBdr>
          <w:bottom w:val="single" w:color="2E86C1" w:sz="4" w:space="1"/>
        </w:pBdr>
        <w:spacing w:before="120" w:after="120"/>
      </w:pPr>
    </w:p>
    <w:p>
      <w:pPr>
        <w:pStyle w:val="Heading2"/>
        <w:spacing w:before="280" w:after="120"/>
      </w:pPr>
      <w:r>
        <w:rPr>
          <w:rFonts w:ascii="Arial" w:cs="Arial" w:eastAsia="Arial" w:hAnsi="Arial"/>
          <w:b/>
          <w:bCs/>
          <w:color w:val="2E86C1"/>
          <w:sz w:val="28"/>
          <w:szCs w:val="28"/>
        </w:rPr>
        <w:t xml:space="preserve">8.1 Phase A — Code Changes (Ready to Execute)</w:t>
      </w:r>
    </w:p>
    <w:p>
      <w:pPr>
        <w:spacing w:before="80" w:after="0"/>
      </w:pPr>
    </w:p>
    <w:p>
      <w:pPr>
        <w:pStyle w:val="Heading3"/>
        <w:spacing w:before="200" w:after="100"/>
      </w:pPr>
      <w:r>
        <w:rPr>
          <w:rFonts w:ascii="Arial" w:cs="Arial" w:eastAsia="Arial" w:hAnsi="Arial"/>
          <w:b/>
          <w:bCs/>
          <w:color w:val="566573"/>
          <w:sz w:val="24"/>
          <w:szCs w:val="24"/>
        </w:rPr>
        <w:t xml:space="preserve">A1: main.ts — Helmet + restricted CORS</w:t>
      </w:r>
    </w:p>
    <w:p>
      <w:pPr>
        <w:pBdr>
          <w:left w:val="single" w:color="2E86C1" w:sz="6" w:space="6"/>
        </w:pBdr>
        <w:shd w:fill="F2F3F4" w:val="clear"/>
        <w:spacing w:before="80" w:after="80"/>
        <w:ind w:left="360"/>
      </w:pPr>
      <w:r>
        <w:rPr>
          <w:rFonts w:ascii="Courier New" w:cs="Courier New" w:eastAsia="Courier New" w:hAnsi="Courier New"/>
          <w:sz w:val="20"/>
          <w:szCs w:val="20"/>
        </w:rPr>
        <w:t xml:space="preserve">import helmet from '@nestjs/helmet';</w:t>
      </w:r>
      <w:r>
        <w:rPr>
          <w:rFonts w:ascii="Courier New" w:cs="Courier New" w:eastAsia="Courier New" w:hAnsi="Courier New"/>
          <w:sz w:val="20"/>
          <w:szCs w:val="20"/>
        </w:rPr>
        <w:br/>
        <w:t xml:space="preserve">app.use(helmet());</w:t>
      </w:r>
      <w:r>
        <w:rPr>
          <w:rFonts w:ascii="Courier New" w:cs="Courier New" w:eastAsia="Courier New" w:hAnsi="Courier New"/>
          <w:sz w:val="20"/>
          <w:szCs w:val="20"/>
        </w:rPr>
        <w:br/>
        <w:t xml:space="preserve">app.enableCors({ origin: process.env.ALLOWED_ORIGINS?.split(',') ?? [] });</w:t>
      </w:r>
    </w:p>
    <w:p>
      <w:pPr>
        <w:spacing w:before="80" w:after="0"/>
      </w:pPr>
    </w:p>
    <w:p>
      <w:pPr>
        <w:pStyle w:val="Heading3"/>
        <w:spacing w:before="200" w:after="100"/>
      </w:pPr>
      <w:r>
        <w:rPr>
          <w:rFonts w:ascii="Arial" w:cs="Arial" w:eastAsia="Arial" w:hAnsi="Arial"/>
          <w:b/>
          <w:bCs/>
          <w:color w:val="566573"/>
          <w:sz w:val="24"/>
          <w:szCs w:val="24"/>
        </w:rPr>
        <w:t xml:space="preserve">A2: login — Timing oracle fix</w:t>
      </w:r>
    </w:p>
    <w:p>
      <w:pPr>
        <w:pBdr>
          <w:left w:val="single" w:color="2E86C1" w:sz="6" w:space="6"/>
        </w:pBdr>
        <w:shd w:fill="F2F3F4" w:val="clear"/>
        <w:spacing w:before="80" w:after="80"/>
        <w:ind w:left="360"/>
      </w:pPr>
      <w:r>
        <w:rPr>
          <w:rFonts w:ascii="Courier New" w:cs="Courier New" w:eastAsia="Courier New" w:hAnsi="Courier New"/>
          <w:sz w:val="20"/>
          <w:szCs w:val="20"/>
        </w:rPr>
        <w:t xml:space="preserve">const DUMMY_HASH = bcrypt.hashSync("dummy", 12);  // pre-computed at module init</w:t>
      </w:r>
      <w:r>
        <w:rPr>
          <w:rFonts w:ascii="Courier New" w:cs="Courier New" w:eastAsia="Courier New" w:hAnsi="Courier New"/>
          <w:color w:val="1E8449"/>
          <w:sz w:val="20"/>
          <w:szCs w:val="20"/>
        </w:rPr>
        <w:br/>
        <w:t xml:space="preserve">// If user not found, still run bcrypt to normalise timing</w:t>
      </w:r>
      <w:r>
        <w:rPr>
          <w:rFonts w:ascii="Courier New" w:cs="Courier New" w:eastAsia="Courier New" w:hAnsi="Courier New"/>
          <w:sz w:val="20"/>
          <w:szCs w:val="20"/>
        </w:rPr>
        <w:br/>
        <w:t xml:space="preserve">if (!user) { bcrypt.compareSync(password, DUMMY_HASH); throw new UnauthorizedException(INVALID_CREDENTIALS); }</w:t>
      </w:r>
    </w:p>
    <w:p>
      <w:pPr>
        <w:spacing w:before="80" w:after="0"/>
      </w:pPr>
    </w:p>
    <w:p>
      <w:pPr>
        <w:pStyle w:val="Heading3"/>
        <w:spacing w:before="200" w:after="100"/>
      </w:pPr>
      <w:r>
        <w:rPr>
          <w:rFonts w:ascii="Arial" w:cs="Arial" w:eastAsia="Arial" w:hAnsi="Arial"/>
          <w:b/>
          <w:bCs/>
          <w:color w:val="566573"/>
          <w:sz w:val="24"/>
          <w:szCs w:val="24"/>
        </w:rPr>
        <w:t xml:space="preserve">A4: auth.controller.ts — ReauthGuard on changePassword</w:t>
      </w:r>
    </w:p>
    <w:p>
      <w:pPr>
        <w:pBdr>
          <w:left w:val="single" w:color="2E86C1" w:sz="6" w:space="6"/>
        </w:pBdr>
        <w:shd w:fill="F2F3F4" w:val="clear"/>
        <w:spacing w:before="80" w:after="80"/>
        <w:ind w:left="360"/>
      </w:pPr>
      <w:r>
        <w:rPr>
          <w:rFonts w:ascii="Courier New" w:cs="Courier New" w:eastAsia="Courier New" w:hAnsi="Courier New"/>
          <w:sz w:val="20"/>
          <w:szCs w:val="20"/>
        </w:rPr>
        <w:t xml:space="preserve">@Patch('change-password')</w:t>
      </w:r>
      <w:r>
        <w:rPr>
          <w:rFonts w:ascii="Courier New" w:cs="Courier New" w:eastAsia="Courier New" w:hAnsi="Courier New"/>
          <w:sz w:val="20"/>
          <w:szCs w:val="20"/>
        </w:rPr>
        <w:br/>
        <w:t xml:space="preserve">@UseGuards(JwtAuthGuard, ReauthGuard)  // &lt;- add ReauthGuard here</w:t>
      </w:r>
      <w:r>
        <w:rPr>
          <w:rFonts w:ascii="Courier New" w:cs="Courier New" w:eastAsia="Courier New" w:hAnsi="Courier New"/>
          <w:sz w:val="20"/>
          <w:szCs w:val="20"/>
        </w:rPr>
        <w:br/>
        <w:t xml:space="preserve">changePassword(@Body() dto: ChangePasswordDto, @GetUser() user: User) { ... }</w:t>
      </w:r>
    </w:p>
    <w:p>
      <w:pPr>
        <w:spacing w:before="80" w:after="0"/>
      </w:pPr>
    </w:p>
    <w:p>
      <w:pPr>
        <w:pStyle w:val="Heading3"/>
        <w:spacing w:before="200" w:after="100"/>
      </w:pPr>
      <w:r>
        <w:rPr>
          <w:rFonts w:ascii="Arial" w:cs="Arial" w:eastAsia="Arial" w:hAnsi="Arial"/>
          <w:b/>
          <w:bCs/>
          <w:color w:val="566573"/>
          <w:sz w:val="24"/>
          <w:szCs w:val="24"/>
        </w:rPr>
        <w:t xml:space="preserve">A6: DTO — Password strength</w:t>
      </w:r>
    </w:p>
    <w:p>
      <w:pPr>
        <w:pBdr>
          <w:left w:val="single" w:color="2E86C1" w:sz="6" w:space="6"/>
        </w:pBdr>
        <w:shd w:fill="F2F3F4" w:val="clear"/>
        <w:spacing w:before="80" w:after="80"/>
        <w:ind w:left="360"/>
      </w:pPr>
      <w:r>
        <w:rPr>
          <w:rFonts w:ascii="Courier New" w:cs="Courier New" w:eastAsia="Courier New" w:hAnsi="Courier New"/>
          <w:sz w:val="20"/>
          <w:szCs w:val="20"/>
        </w:rPr>
        <w:t xml:space="preserve">@IsString() @MinLength(12) @Matches(/^(?=.*[a-z])(?=.*[A-Z])(?=.*\d)(?=.*[^a-zA-Z\d])/, { message: 'Password must contain upper, lower, digit and special char' })</w:t>
      </w:r>
      <w:r>
        <w:rPr>
          <w:rFonts w:ascii="Courier New" w:cs="Courier New" w:eastAsia="Courier New" w:hAnsi="Courier New"/>
          <w:sz w:val="20"/>
          <w:szCs w:val="20"/>
        </w:rPr>
        <w:br/>
        <w:t xml:space="preserve">password: string;</w:t>
      </w:r>
    </w:p>
    <w:p>
      <w:pPr>
        <w:spacing w:before="200" w:after="0"/>
      </w:pPr>
    </w:p>
    <w:p>
      <w:pPr>
        <w:spacing w:before="0" w:after="160"/>
      </w:pPr>
      <w:r>
        <w:rPr>
          <w:rFonts w:ascii="Arial" w:cs="Arial" w:eastAsia="Arial" w:hAnsi="Arial"/>
          <w:sz w:val="24"/>
          <w:szCs w:val="24"/>
        </w:rPr>
        <w:t xml:space="preserve">This document is maintained alongside the codebase at </w:t>
      </w:r>
      <w:r>
        <w:rPr>
          <w:rFonts w:ascii="Arial" w:cs="Arial" w:eastAsia="Arial" w:hAnsi="Arial"/>
          <w:b/>
          <w:bCs/>
          <w:sz w:val="24"/>
          <w:szCs w:val="24"/>
        </w:rPr>
        <w:t xml:space="preserve">authn-authz-implementation-plan.md</w:t>
      </w:r>
      <w:r>
        <w:rPr>
          <w:rFonts w:ascii="Arial" w:cs="Arial" w:eastAsia="Arial" w:hAnsi="Arial"/>
          <w:sz w:val="24"/>
          <w:szCs w:val="24"/>
        </w:rPr>
        <w:t xml:space="preserve">. Update the scorecard in Section 1 as each phase is completed.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2026-02-28T21:54:13.602Z</dcterms:created>
  <dcterms:modified xsi:type="dcterms:W3CDTF">2026-02-28T21:54:13.602Z</dcterms:modified>
</cp:coreProperties>
</file>

<file path=docProps/custom.xml><?xml version="1.0" encoding="utf-8"?>
<Properties xmlns="http://schemas.openxmlformats.org/officeDocument/2006/custom-properties" xmlns:vt="http://schemas.openxmlformats.org/officeDocument/2006/docPropsVTypes"/>
</file>