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FD745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26A96D5F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D-01》</w:t>
      </w:r>
    </w:p>
    <w:p w14:paraId="625E6B25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项目开题报告</w:t>
      </w:r>
    </w:p>
    <w:p w14:paraId="046A3752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307282EC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7AF8BA8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69B5F382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5CCAF1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1B68CF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D-01</w:t>
            </w:r>
          </w:p>
        </w:tc>
      </w:tr>
      <w:tr w14:paraId="47DC61EC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B8645F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0A4C42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项目开题报告</w:t>
            </w:r>
          </w:p>
        </w:tc>
      </w:tr>
      <w:tr w14:paraId="7C0B71BF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4E51ED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F31F90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47F9F2AA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F932BA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7E835B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43505C0D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D9DB98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041EFC7">
            <w:pPr>
              <w:spacing w:after="40"/>
            </w:pPr>
            <w:r>
              <w:rPr>
                <w:rFonts w:ascii="微软雅黑" w:hAnsi="微软雅黑"/>
                <w:sz w:val="20"/>
              </w:rPr>
              <w:t>第 3 组</w:t>
            </w:r>
          </w:p>
        </w:tc>
      </w:tr>
      <w:tr w14:paraId="37EFA593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7C5DB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F5310F5">
            <w:pPr>
              <w:spacing w:after="40"/>
              <w:rPr>
                <w:rFonts w:hint="eastAsia" w:ascii="微软雅黑" w:hAnsi="微软雅黑" w:eastAsia="微软雅黑"/>
                <w:sz w:val="20"/>
                <w:lang w:val="en-US" w:eastAsia="zh-CN"/>
              </w:rPr>
            </w:pP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-3 / 2</w:t>
            </w:r>
            <w:r>
              <w:rPr>
                <w:rFonts w:hint="eastAsia"/>
                <w:sz w:val="20"/>
                <w:lang w:val="en-US" w:eastAsia="zh-CN"/>
              </w:rPr>
              <w:t>31002814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杨昊田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-3 / 2</w:t>
            </w:r>
            <w:r>
              <w:rPr>
                <w:rFonts w:hint="eastAsia"/>
                <w:sz w:val="20"/>
                <w:lang w:val="en-US" w:eastAsia="zh-CN"/>
              </w:rPr>
              <w:t>31002812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赵禹昊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2</w:t>
            </w:r>
            <w:r>
              <w:rPr>
                <w:rFonts w:ascii="微软雅黑" w:hAnsi="微软雅黑"/>
                <w:sz w:val="20"/>
              </w:rPr>
              <w:t xml:space="preserve"> / 23</w:t>
            </w:r>
            <w:r>
              <w:rPr>
                <w:rFonts w:hint="eastAsia"/>
                <w:sz w:val="20"/>
                <w:lang w:val="en-US" w:eastAsia="zh-CN"/>
              </w:rPr>
              <w:t>1002815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张晓辉</w:t>
            </w:r>
            <w:r>
              <w:rPr>
                <w:rFonts w:ascii="微软雅黑" w:hAnsi="微软雅黑"/>
                <w:sz w:val="20"/>
              </w:rPr>
              <w:br w:type="textWrapping"/>
            </w: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231002902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陶浩然</w:t>
            </w:r>
          </w:p>
          <w:p w14:paraId="58A0DC1A">
            <w:pPr>
              <w:spacing w:after="40"/>
              <w:rPr>
                <w:rFonts w:hint="default" w:ascii="微软雅黑" w:hAnsi="微软雅黑" w:eastAsia="微软雅黑"/>
                <w:sz w:val="20"/>
                <w:lang w:val="en-US" w:eastAsia="zh-CN"/>
              </w:rPr>
            </w:pPr>
            <w:r>
              <w:rPr>
                <w:rFonts w:ascii="微软雅黑" w:hAnsi="微软雅黑"/>
                <w:sz w:val="20"/>
              </w:rPr>
              <w:t>计算机2</w:t>
            </w:r>
            <w:r>
              <w:rPr>
                <w:rFonts w:hint="eastAsia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231002810</w:t>
            </w:r>
            <w:r>
              <w:rPr>
                <w:rFonts w:ascii="微软雅黑" w:hAnsi="微软雅黑"/>
                <w:sz w:val="20"/>
              </w:rPr>
              <w:t xml:space="preserve"> / </w:t>
            </w:r>
            <w:r>
              <w:rPr>
                <w:rFonts w:hint="eastAsia"/>
                <w:sz w:val="20"/>
                <w:lang w:val="en-US" w:eastAsia="zh-CN"/>
              </w:rPr>
              <w:t>张森柏</w:t>
            </w:r>
          </w:p>
        </w:tc>
      </w:tr>
      <w:tr w14:paraId="6988AE67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E251F2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0F24016">
            <w:pPr>
              <w:spacing w:after="40"/>
            </w:pPr>
            <w:r>
              <w:rPr>
                <w:rFonts w:ascii="微软雅黑" w:hAnsi="微软雅黑"/>
                <w:sz w:val="20"/>
              </w:rPr>
              <w:t>2026 - 06 - 13</w:t>
            </w:r>
          </w:p>
        </w:tc>
      </w:tr>
    </w:tbl>
    <w:p w14:paraId="3006BE00"/>
    <w:p w14:paraId="1AA7DC4A">
      <w:r>
        <w:br w:type="page"/>
      </w:r>
    </w:p>
    <w:p w14:paraId="467CCE1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3F4D09ED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立项阶段的纲领性文件。须能让评审在 5 分钟内回答："这组要做什么？为什么值得做？怎么做？多久能做完？"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597D2C7"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26D4F811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405DCD54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545C6E8D"/>
    <w:p w14:paraId="6BBF594D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项目基本信息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F892BE9">
        <w:trPr>
          <w:jc w:val="center"/>
        </w:trPr>
        <w:tc>
          <w:tcPr>
            <w:tcW w:w="2268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0C40766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1E6F363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5CF351B4"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046F03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项目中文名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87AB699">
            <w:pPr>
              <w:spacing w:before="40" w:after="40"/>
              <w:jc w:val="left"/>
            </w:pPr>
            <w:r>
              <w:rPr>
                <w:rFonts w:ascii="微软雅黑" w:hAnsi="微软雅黑"/>
                <w:sz w:val="20"/>
              </w:rPr>
              <w:t>NekoCafé 智慧猫咖餐饮预约平台</w:t>
            </w:r>
          </w:p>
        </w:tc>
      </w:tr>
      <w:tr w14:paraId="387CF998"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7558D47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项目英文名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20470E85">
            <w:pPr>
              <w:spacing w:before="40" w:after="40"/>
              <w:jc w:val="left"/>
            </w:pPr>
            <w:r>
              <w:rPr>
                <w:rFonts w:ascii="微软雅黑" w:hAnsi="微软雅黑"/>
                <w:sz w:val="20"/>
              </w:rPr>
              <w:t>NekoCafé — Smart Cat Café Reservation &amp; Dining Platform</w:t>
            </w:r>
          </w:p>
        </w:tc>
      </w:tr>
      <w:tr w14:paraId="46CCF7E5"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AB2C69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选题编号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DE0F506">
            <w:pPr>
              <w:spacing w:before="40" w:after="40"/>
              <w:jc w:val="left"/>
            </w:pPr>
            <w:r>
              <w:rPr>
                <w:rFonts w:ascii="微软雅黑" w:hAnsi="微软雅黑"/>
                <w:sz w:val="20"/>
              </w:rPr>
              <w:t>T-01</w:t>
            </w:r>
          </w:p>
        </w:tc>
      </w:tr>
      <w:tr w14:paraId="77D533B8"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15515D0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小组组号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199515DC">
            <w:pPr>
              <w:spacing w:before="40" w:after="40"/>
              <w:jc w:val="left"/>
            </w:pPr>
            <w:r>
              <w:rPr>
                <w:rFonts w:ascii="微软雅黑" w:hAnsi="微软雅黑"/>
                <w:sz w:val="20"/>
              </w:rPr>
              <w:t>第 3 组</w:t>
            </w:r>
          </w:p>
        </w:tc>
      </w:tr>
      <w:tr w14:paraId="03AD30A7"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8D43C1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指导教师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4410C34">
            <w:pPr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王升</w:t>
            </w:r>
          </w:p>
        </w:tc>
      </w:tr>
      <w:tr w14:paraId="48E61DF8"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7E554DD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计划起讫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1A11610B">
            <w:pPr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/>
                <w:sz w:val="20"/>
              </w:rPr>
              <w:t>2026-06-0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  <w:r>
              <w:rPr>
                <w:rFonts w:ascii="微软雅黑" w:hAnsi="微软雅黑"/>
                <w:sz w:val="20"/>
              </w:rPr>
              <w:t xml:space="preserve">  至  2026-06-</w:t>
            </w:r>
            <w:r>
              <w:rPr>
                <w:rFonts w:hint="eastAsia"/>
                <w:sz w:val="20"/>
                <w:lang w:val="en-US" w:eastAsia="zh-CN"/>
              </w:rPr>
              <w:t>14</w:t>
            </w:r>
          </w:p>
        </w:tc>
      </w:tr>
    </w:tbl>
    <w:p w14:paraId="53FA157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D7FE55B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A5E088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本项目选题为 T-01「NekoCafé 智慧餐饮预约平台」，属于课题指南中的推荐选题。</w:t>
            </w:r>
          </w:p>
          <w:p w14:paraId="0016881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NekoCafé 是一款面向猫咖行业的智慧餐饮预约与门店运营平台。系统围绕“猫咖 + 餐饮”双业态融合场景，为顾客提供门店浏览、桌位预约、排队取号、菜品点单、在线支付、评价与退款等完整消费闭环；为店员提供预约签到、订单履约、排队叫号、桌位管理等店内操作能力；为店长提供门店经营指标、员工排班、猫咪状态管理等日常运营工具；为总部运营人员提供跨门店数据看板（坪效、翻台率、会员复购率）、活动发布、门店管理等决策支持功能；同时设置猫咪管家角色，专门负责猫咪健康档案管理（体重、疫苗、互动记录及趋势图）。</w:t>
            </w:r>
          </w:p>
          <w:p w14:paraId="33B8FCC0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项目采用前后端分离架构，前端使用 Vue 3 + Element Plus + ECharts，后端使用 Spring Boot 3 + MyBatis-Plus + MySQL 8，通过 JWT 实现无状态鉴权，以 Flyway 管理数据库版本迁移，并通过 Docker Compose 实现一键部署。</w:t>
            </w:r>
          </w:p>
        </w:tc>
      </w:tr>
    </w:tbl>
    <w:p w14:paraId="4A0CD007"/>
    <w:p w14:paraId="5E675290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立项背景与意义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6606E8B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F61819E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hint="eastAsia" w:ascii="微软雅黑" w:hAnsi="微软雅黑" w:eastAsia="微软雅黑"/>
                <w:b w:val="0"/>
                <w:color w:val="2B2B2B"/>
                <w:sz w:val="20"/>
              </w:rPr>
              <w:t>猫咖在全国一二线城市快速扩张，但行业普遍面临数字化程度低的问题：顾客预约靠人工、排队体验差，店员多系统切换效率低，总部缺乏数据支撑决策，猫咪健康管理缺失。本项目面向猫咖经营者、店员、顾客和总部运营人员，通过构建覆盖"预约-排队-点单-支付-履约-评价-退款"全链路的智慧猫咖平台，解决门店运营效率低下和顾客体验不佳的实际问题。当前正值猫咖行业从粗放扩张转向精细化运营的关键时期，数字化工具成为连锁猫咖规模化发展的必要条件，而市场上缺乏针对猫咖业态的一站式解决方案，因此本项目具有明确的市场切入时机和实用价值。</w:t>
            </w:r>
          </w:p>
        </w:tc>
      </w:tr>
    </w:tbl>
    <w:p w14:paraId="21F3AF72"/>
    <w:p w14:paraId="6C404C8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选题论证（自拟选题须扩展为 ≥ 1500 字）</w:t>
      </w:r>
    </w:p>
    <w:p w14:paraId="7C3961E9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现状调研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54CED4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5B13E52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经调研，目前市场上与猫咖餐饮预约相关的系统主要有以下几类：</w:t>
            </w:r>
          </w:p>
          <w:p w14:paraId="17796043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1. 通用餐饮排队系统（如美味不用等、美团排队）</w:t>
            </w:r>
          </w:p>
          <w:p w14:paraId="0B41490C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   优势：用户基数大，接入成本低，功能成熟。</w:t>
            </w:r>
          </w:p>
          <w:p w14:paraId="51C3974A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   不足：只覆盖排队取号场景，不支持猫咖特有的桌位预约（选桌、选时段、选猫咪互动区），无猫咪健康管理，无会员积分体系，无法满足连锁猫咖总部数据分析需求。</w:t>
            </w:r>
          </w:p>
          <w:p w14:paraId="0C0D4912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2. 宠物店管理 SaaS（如宠店助手、蜗牛小店）</w:t>
            </w:r>
          </w:p>
          <w:p w14:paraId="66424DA5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   优势：覆盖宠物洗护预约、寄养管理、会员管理，有一定宠物档案能力。</w:t>
            </w:r>
          </w:p>
          <w:p w14:paraId="05C636C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   不足：核心场景是宠物服务（洗护/寄养/医疗）而非猫咖消费体验，缺少餐饮点单、排队叫号、数据看板等功能，与猫咖业态匹配度低。</w:t>
            </w:r>
          </w:p>
          <w:p w14:paraId="483CCECB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3. 轻量级预约小程序（如微信接龙、腾讯文档表单）</w:t>
            </w:r>
          </w:p>
          <w:p w14:paraId="4FE99C6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   优势：零成本，快速上手。</w:t>
            </w:r>
          </w:p>
          <w:p w14:paraId="435A90CD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   不足：数据无法沉淀与分析，不支持复杂业务规则（桌位容量校验、时段库存扣减、排队与预约协同），无支付集成，无角色权限控制，无法支撑连锁门店的规模化运营。</w:t>
            </w:r>
          </w:p>
          <w:p w14:paraId="3BF3B30B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4. 自研猫咖系统（部分头部连锁猫咖内部使用）</w:t>
            </w:r>
          </w:p>
          <w:p w14:paraId="67D3079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   优势：贴合业务，功能定制。</w:t>
            </w:r>
          </w:p>
          <w:p w14:paraId="30C0D4A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   不足：仅限品牌内部使用，不对外输出；开发成本高，中小猫咖无力自研。</w:t>
            </w:r>
          </w:p>
          <w:p w14:paraId="75F3187E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综合对比结论：市场上缺乏针对猫咖业态的一站式数字化运营平台，本项目恰好填补这一空白。</w:t>
            </w:r>
          </w:p>
        </w:tc>
      </w:tr>
    </w:tbl>
    <w:p w14:paraId="57927F5C"/>
    <w:p w14:paraId="2B1CCF88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本项目独特价值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DB342FD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7EC20E7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相比既有方案，本项目的差异化价值体现在以下方面：</w:t>
            </w:r>
          </w:p>
          <w:p w14:paraId="46FA438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1. 猫咖业态垂直定制：市面上通用餐饮系统无法覆盖“人-猫-餐”三要素融合场景。本项目的预约模块同时管理桌位和猫咪互动区；菜单模块将人类餐品与猫咪互动体验统一呈现；猫咪管家角色专门负责健康档案管理。</w:t>
            </w:r>
          </w:p>
          <w:p w14:paraId="39FC088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2. AI 智能推荐：基于用户偏好（安静区/互动区、猫品种偏好、菜品口味偏好）与猫咪性格（温顺/活泼/高冷）的多维匹配，为用户推荐最合适的桌位、猫咪与菜品组合，提升消费体验与客单价。这是目前同类系统所不具备的差异化能力。</w:t>
            </w:r>
          </w:p>
          <w:p w14:paraId="350C3B4B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3. 多角色全链路闭环：覆盖顾客、店员、店长、总部运营、猫咪管家五大角色，从预约→排队→点单→支付→履约→评价→退款，形成完整业务闭环。每个角色的操作都在统一平台上完成，数据实时同步，消除信息孤岛。</w:t>
            </w:r>
          </w:p>
          <w:p w14:paraId="33D0BA5C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4. 数据驱动运营：总部数据看板提供坪效、翻台率、会员复购率等关键经营指标的可视化分析（折线图/柱状图/饼图），支撑总部进行跨门店对比、趋势分析和经营决策。</w:t>
            </w:r>
          </w:p>
          <w:p w14:paraId="05DBCEA3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5. 工程化交付质量：项目不仅关注功能实现，更强调一键部署（Docker Compose）、自动化测试（覆盖率≥ 60%）、性能压测（k6/JMeter）、安全自查（OWASP Top 10）等工程化实践，确保交付物达到软件工程课程设计的优秀标准。</w:t>
            </w:r>
          </w:p>
          <w:p w14:paraId="350B9390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综上所述，T-01 选题既具备真实业务场景的可行性与实用性，又在技术深度和工程广度上满足软件工程课程设计的教学要求。项目规模适中（5 角色、6 必做模块 + 3 选做模块），适合 4 人团队在 2 周内完成从需求到交付的全流程实践。</w:t>
            </w:r>
          </w:p>
        </w:tc>
      </w:tr>
    </w:tbl>
    <w:p w14:paraId="67B8092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9C8E65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2D6A4DC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</w:tc>
      </w:tr>
    </w:tbl>
    <w:p w14:paraId="1A4570C9"/>
    <w:p w14:paraId="1C79158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总体目标与功能范围（MVP）</w:t>
      </w:r>
    </w:p>
    <w:p w14:paraId="44815C83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总体目标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D6F7F4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668467A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总体目标：构建一个面向猫咖行业的一站式智慧餐饮预约与门店运营平台，实现从顾客预约到总部决策的完整数字化闭环。</w:t>
            </w:r>
          </w:p>
          <w:p w14:paraId="41FB70AE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1ED1555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二级目标：</w:t>
            </w:r>
          </w:p>
          <w:p w14:paraId="7D7D4F97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1. 完成 6 个必做模块（用户与会员、门店与桌位、预约与点单、订单与履约、店员后台、数据看板），覆盖全部核心业务流程。</w:t>
            </w:r>
          </w:p>
          <w:p w14:paraId="3832912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2. 实现至少 3 项选做功能（AI 推荐、猫咪健康档案、运营活动引擎），突出 T-01 选题特色。</w:t>
            </w:r>
          </w:p>
          <w:p w14:paraId="4111209C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3. 通过 Docker Compose 实现一键部署，评委可在本地环境 5 分钟内启动完整系统。</w:t>
            </w:r>
          </w:p>
          <w:p w14:paraId="38988833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4. 后端单元测试覆盖率 ≥ 60%，核心业务域（预约、订单、支付）覆盖率尽量达到 80%。</w:t>
            </w:r>
          </w:p>
          <w:p w14:paraId="36A8AA2A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5. 提交 k6/JMeter 性能压测脚本与结果，P95 核心接口响应时间 ≤ 350 ms。</w:t>
            </w:r>
          </w:p>
        </w:tc>
      </w:tr>
    </w:tbl>
    <w:p w14:paraId="6DEDBBBA"/>
    <w:p w14:paraId="7030DB1F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功能范围（MoSCoW）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347B9AD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F915616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Must Have（必须有，MVP 核心）：</w:t>
            </w:r>
          </w:p>
          <w:p w14:paraId="67C74B7F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M1: 用户注册/登录、JWT 鉴权、多角色权限控制（CUSTOMER/STAFF/STORE_MANAGER/HQ_OPERATOR/CAT_CARETAKER）</w:t>
            </w:r>
          </w:p>
          <w:p w14:paraId="654AAFE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M2: 门店列表浏览、桌位库存查询、实时排队取号与叫号</w:t>
            </w:r>
          </w:p>
          <w:p w14:paraId="6AB655C7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M3: 可视化选桌预约、菜品浏览与下单、沙箱在线支付</w:t>
            </w:r>
          </w:p>
          <w:p w14:paraId="5B79B64F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M4: 订单生命周期管理（创建→支付→接单→制作→完成）、订单取消</w:t>
            </w:r>
          </w:p>
          <w:p w14:paraId="6ACD2100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M5: 店员工作台（今日预约、签到、订单处理、桌位状态管理、排队管理）</w:t>
            </w:r>
          </w:p>
          <w:p w14:paraId="6EC69DB0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M6: 总部数据看板（坪效、翻台率、会员复购率图表）</w:t>
            </w:r>
          </w:p>
          <w:p w14:paraId="6F28E5D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4205F9E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Should Have（应该有，增强体验）：</w:t>
            </w:r>
          </w:p>
          <w:p w14:paraId="2CD90077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会员积分与等级体系（普通/银卡/金卡/黑金）</w:t>
            </w:r>
          </w:p>
          <w:p w14:paraId="45C08BE5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退款申请与审批闭环（顾客申请 → 店长审核 → 同意/拒绝）</w:t>
            </w:r>
          </w:p>
          <w:p w14:paraId="594DCE32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猫咪基础档案管理（品种、性格、互动偏好、健康状态）</w:t>
            </w:r>
          </w:p>
          <w:p w14:paraId="102CCAE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活动/优惠券发布与管理（总部发布 → 门店确认 → 顾客领取）</w:t>
            </w:r>
          </w:p>
          <w:p w14:paraId="2DFF8A8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54E38EA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Could Have（可以有，锦上添花）：</w:t>
            </w:r>
          </w:p>
          <w:p w14:paraId="6D7FBD8A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AI 智能推荐（基于用户偏好 + 猫咪性格匹配桌位与菜品）</w:t>
            </w:r>
          </w:p>
          <w:p w14:paraId="3E7B7ABD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猫咪健康档案趋势图（体重变化折线图、疫苗状态追踪）</w:t>
            </w:r>
          </w:p>
          <w:p w14:paraId="0CA1D880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LBS 最近门店检索（基于用户位置的附近门店排序）</w:t>
            </w:r>
          </w:p>
          <w:p w14:paraId="44AD32D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实名认证沙箱流程</w:t>
            </w:r>
          </w:p>
          <w:p w14:paraId="00C7C15E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店员异常告警（超时未清台、预约过号、猫咪健康异常）</w:t>
            </w:r>
          </w:p>
          <w:p w14:paraId="7CF79D11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703F3E1F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Won’t Have（本期不做）：</w:t>
            </w:r>
          </w:p>
          <w:p w14:paraId="22A18F61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微信小程序端开发（仅 Web H5 端）</w:t>
            </w:r>
          </w:p>
          <w:p w14:paraId="356875B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真实微信支付/支付宝对接（使用沙箱模拟支付）</w:t>
            </w:r>
          </w:p>
          <w:p w14:paraId="4D8587AE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真实 AI 大模型训练（使用规则推荐 + 外部 API fallback）</w:t>
            </w:r>
          </w:p>
          <w:p w14:paraId="2E096696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真实短信/推送通知（仅系统内消息）</w:t>
            </w:r>
          </w:p>
        </w:tc>
      </w:tr>
    </w:tbl>
    <w:p w14:paraId="70EF0E91"/>
    <w:p w14:paraId="272C968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4.3  非功能性要求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CAF9C0F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EAFBFEB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性能要求：</w:t>
            </w:r>
          </w:p>
          <w:p w14:paraId="4710666A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核心接口（门店列表、预约时段查询、创建订单）P95 响应时间 ≤ 350 ms</w:t>
            </w:r>
          </w:p>
          <w:p w14:paraId="0F8574BB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高峰期支持 1000 并发预约请求，系统错误率 ≤ 1%</w:t>
            </w:r>
          </w:p>
          <w:p w14:paraId="3322FCBC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数据库连接池最大 10 连接（HikariCP），合理利用连接资源</w:t>
            </w:r>
          </w:p>
          <w:p w14:paraId="6A4890EE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1F5AD2D7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可用性要求：</w:t>
            </w:r>
          </w:p>
          <w:p w14:paraId="2FCCC836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系统月可用率 ≥ 99.5%（非生产环境为课程演示目标）</w:t>
            </w:r>
          </w:p>
          <w:p w14:paraId="7CCB87B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支持优雅降级：AI 推荐不可用时自动切换为规则推荐 + 模板文案</w:t>
            </w:r>
          </w:p>
          <w:p w14:paraId="77A1D707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5331FC9C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安全性要求：</w:t>
            </w:r>
          </w:p>
          <w:p w14:paraId="422BA45E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通过 OWASP Top 10 自查，0 个高危漏洞</w:t>
            </w:r>
          </w:p>
          <w:p w14:paraId="55C3E13A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JWT Secret 通过环境变量注入，不硬编码在配置文件或代码中</w:t>
            </w:r>
          </w:p>
          <w:p w14:paraId="7F24747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数据库密码通过环境变量注入，不使用默认弱密码</w:t>
            </w:r>
          </w:p>
          <w:p w14:paraId="45CA1CEF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密码存储使用 BCrypt 单向哈希</w:t>
            </w:r>
          </w:p>
          <w:p w14:paraId="5F83CC95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后端接口进行角色权限校验，防止水平越权</w:t>
            </w:r>
          </w:p>
          <w:p w14:paraId="71FA1358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敏感字段（手机号、身份证号）在日志中脱敏</w:t>
            </w:r>
          </w:p>
          <w:p w14:paraId="2A14F4EE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3EA1081F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兼容性要求：</w:t>
            </w:r>
          </w:p>
          <w:p w14:paraId="4A9E0656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前端支持 Chrome/Firefox/Edge 最新两个大版本</w:t>
            </w:r>
          </w:p>
          <w:p w14:paraId="59EB131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H5 端在移动浏览器中基本可用（侧边栏折叠、表格卡片化）</w:t>
            </w:r>
          </w:p>
          <w:p w14:paraId="76CADF85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31BE8E01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可维护性要求：</w:t>
            </w:r>
          </w:p>
          <w:p w14:paraId="7D5F4DE0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后端代码遵循领域驱动分包（auth/user/store/order/payment/…）</w:t>
            </w:r>
          </w:p>
          <w:p w14:paraId="2035DDA2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前端组件按功能模块组织（customer/staff/manager/admin/cat/…）</w:t>
            </w:r>
          </w:p>
          <w:p w14:paraId="1D3F12D0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数据库迁移使用 Flyway 版本化管理</w:t>
            </w:r>
          </w:p>
          <w:p w14:paraId="461A5FFE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关键业务逻辑有单元测试覆盖</w:t>
            </w:r>
          </w:p>
        </w:tc>
      </w:tr>
    </w:tbl>
    <w:p w14:paraId="2907091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DEA7B9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0DD6F15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以上功能范围与非功能性要求构成了本项目的 MVP 定义，后续设计、开发与测试工作将以此为基础展开。</w:t>
            </w:r>
          </w:p>
        </w:tc>
      </w:tr>
    </w:tbl>
    <w:p w14:paraId="51C46F2A"/>
    <w:p w14:paraId="581924C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技术路线初步选型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737267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2EC3AC0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tbl>
            <w:tblPr>
              <w:tblStyle w:val="3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60"/>
              <w:gridCol w:w="2934"/>
              <w:gridCol w:w="4826"/>
            </w:tblGrid>
            <w:tr w14:paraId="75779365">
              <w:tc>
                <w:tcPr>
                  <w:tcW w:w="1760" w:type="dxa"/>
                  <w:vAlign w:val="center"/>
                </w:tcPr>
                <w:p w14:paraId="123B67FC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层次</w:t>
                  </w:r>
                </w:p>
              </w:tc>
              <w:tc>
                <w:tcPr>
                  <w:tcW w:w="2934" w:type="dxa"/>
                  <w:vAlign w:val="center"/>
                </w:tcPr>
                <w:p w14:paraId="543A3991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技术选型</w:t>
                  </w:r>
                </w:p>
              </w:tc>
              <w:tc>
                <w:tcPr>
                  <w:tcW w:w="4826" w:type="dxa"/>
                  <w:vAlign w:val="center"/>
                </w:tcPr>
                <w:p w14:paraId="10D355F0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选型理由</w:t>
                  </w:r>
                </w:p>
              </w:tc>
            </w:tr>
            <w:tr w14:paraId="3C7AD427">
              <w:tc>
                <w:tcPr>
                  <w:tcW w:w="1760" w:type="dxa"/>
                  <w:vAlign w:val="center"/>
                </w:tcPr>
                <w:p w14:paraId="57D7EB38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前端框架</w:t>
                  </w:r>
                </w:p>
              </w:tc>
              <w:tc>
                <w:tcPr>
                  <w:tcW w:w="2934" w:type="dxa"/>
                  <w:vAlign w:val="center"/>
                </w:tcPr>
                <w:p w14:paraId="46DCEE28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Vue 3 + TypeScript + Vite</w:t>
                  </w:r>
                </w:p>
              </w:tc>
              <w:tc>
                <w:tcPr>
                  <w:tcW w:w="4826" w:type="dxa"/>
                  <w:vAlign w:val="center"/>
                </w:tcPr>
                <w:p w14:paraId="739451AA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渐进式框架，组合式 API；生态完善（Element Plus、Pinia、Vue Router）；Vite 构建快</w:t>
                  </w:r>
                </w:p>
              </w:tc>
            </w:tr>
            <w:tr w14:paraId="7399810B">
              <w:tc>
                <w:tcPr>
                  <w:tcW w:w="1760" w:type="dxa"/>
                  <w:vAlign w:val="center"/>
                </w:tcPr>
                <w:p w14:paraId="47D18F0C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UI 组件库</w:t>
                  </w:r>
                </w:p>
              </w:tc>
              <w:tc>
                <w:tcPr>
                  <w:tcW w:w="2934" w:type="dxa"/>
                  <w:vAlign w:val="center"/>
                </w:tcPr>
                <w:p w14:paraId="71585513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Element Plus</w:t>
                  </w:r>
                </w:p>
              </w:tc>
              <w:tc>
                <w:tcPr>
                  <w:tcW w:w="4826" w:type="dxa"/>
                  <w:vAlign w:val="center"/>
                </w:tcPr>
                <w:p w14:paraId="37559C5F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成熟的企业级 Vue 3 组件库；内置表格/表单/弹窗等丰富组件</w:t>
                  </w:r>
                </w:p>
              </w:tc>
            </w:tr>
            <w:tr w14:paraId="23BDC9A5">
              <w:tc>
                <w:tcPr>
                  <w:tcW w:w="1760" w:type="dxa"/>
                  <w:vAlign w:val="center"/>
                </w:tcPr>
                <w:p w14:paraId="5390703D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图表库</w:t>
                  </w:r>
                </w:p>
              </w:tc>
              <w:tc>
                <w:tcPr>
                  <w:tcW w:w="2934" w:type="dxa"/>
                  <w:vAlign w:val="center"/>
                </w:tcPr>
                <w:p w14:paraId="5F694A37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ECharts 5</w:t>
                  </w:r>
                </w:p>
              </w:tc>
              <w:tc>
                <w:tcPr>
                  <w:tcW w:w="4826" w:type="dxa"/>
                  <w:vAlign w:val="center"/>
                </w:tcPr>
                <w:p w14:paraId="1BB27115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功能强大的数据可视化库；支持折线图/柱状图/饼图/仪表盘等多种图表类型</w:t>
                  </w:r>
                </w:p>
              </w:tc>
            </w:tr>
            <w:tr w14:paraId="0FF8CD0E">
              <w:tc>
                <w:tcPr>
                  <w:tcW w:w="1760" w:type="dxa"/>
                  <w:vAlign w:val="center"/>
                </w:tcPr>
                <w:p w14:paraId="2B17E769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后端框架</w:t>
                  </w:r>
                </w:p>
              </w:tc>
              <w:tc>
                <w:tcPr>
                  <w:tcW w:w="2934" w:type="dxa"/>
                  <w:vAlign w:val="center"/>
                </w:tcPr>
                <w:p w14:paraId="6ACBD256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Spring Boot 3.3.5 + JDK 17</w:t>
                  </w:r>
                </w:p>
              </w:tc>
              <w:tc>
                <w:tcPr>
                  <w:tcW w:w="4826" w:type="dxa"/>
                  <w:vAlign w:val="center"/>
                </w:tcPr>
                <w:p w14:paraId="1AA33F8E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Java 生态最主流的企业级框架；自动配置、Actuator 健康检查、Validation 校验</w:t>
                  </w:r>
                </w:p>
              </w:tc>
            </w:tr>
            <w:tr w14:paraId="3FB75FDB">
              <w:tc>
                <w:tcPr>
                  <w:tcW w:w="1760" w:type="dxa"/>
                  <w:vAlign w:val="center"/>
                </w:tcPr>
                <w:p w14:paraId="19B7A963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ORM</w:t>
                  </w:r>
                </w:p>
              </w:tc>
              <w:tc>
                <w:tcPr>
                  <w:tcW w:w="2934" w:type="dxa"/>
                  <w:vAlign w:val="center"/>
                </w:tcPr>
                <w:p w14:paraId="7F1DBA33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MyBatis-Plus 3.5.7</w:t>
                  </w:r>
                </w:p>
              </w:tc>
              <w:tc>
                <w:tcPr>
                  <w:tcW w:w="4826" w:type="dxa"/>
                  <w:vAlign w:val="center"/>
                </w:tcPr>
                <w:p w14:paraId="16BCAB77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在 MyBatis 基础上增强：自动 CRUD、分页、乐观锁、逻辑删除，开发效率高</w:t>
                  </w:r>
                </w:p>
              </w:tc>
            </w:tr>
            <w:tr w14:paraId="196B556A">
              <w:tc>
                <w:tcPr>
                  <w:tcW w:w="1760" w:type="dxa"/>
                  <w:vAlign w:val="center"/>
                </w:tcPr>
                <w:p w14:paraId="3C4A86BB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鉴权</w:t>
                  </w:r>
                </w:p>
              </w:tc>
              <w:tc>
                <w:tcPr>
                  <w:tcW w:w="2934" w:type="dxa"/>
                  <w:vAlign w:val="center"/>
                </w:tcPr>
                <w:p w14:paraId="47BF5082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Spring Security + JJWT 0.12.6</w:t>
                  </w:r>
                </w:p>
              </w:tc>
              <w:tc>
                <w:tcPr>
                  <w:tcW w:w="4826" w:type="dxa"/>
                  <w:vAlign w:val="center"/>
                </w:tcPr>
                <w:p w14:paraId="0AF478D2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无状态 JWT 鉴权；方法级 @PreAuthorize 注解控制角色权限</w:t>
                  </w:r>
                </w:p>
              </w:tc>
            </w:tr>
            <w:tr w14:paraId="3F237F8A">
              <w:tc>
                <w:tcPr>
                  <w:tcW w:w="1760" w:type="dxa"/>
                  <w:vAlign w:val="center"/>
                </w:tcPr>
                <w:p w14:paraId="743F8687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数据库</w:t>
                  </w:r>
                </w:p>
              </w:tc>
              <w:tc>
                <w:tcPr>
                  <w:tcW w:w="2934" w:type="dxa"/>
                  <w:vAlign w:val="center"/>
                </w:tcPr>
                <w:p w14:paraId="6A8E40DA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MySQL 8 + InnoDB</w:t>
                  </w:r>
                </w:p>
              </w:tc>
              <w:tc>
                <w:tcPr>
                  <w:tcW w:w="4826" w:type="dxa"/>
                  <w:vAlign w:val="center"/>
                </w:tcPr>
                <w:p w14:paraId="36275627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成熟稳定的关系型数据库；InnoDB 支持事务、行级锁、外键；utf8mb4 字符集支持 emoji</w:t>
                  </w:r>
                </w:p>
              </w:tc>
            </w:tr>
            <w:tr w14:paraId="4CB50E58">
              <w:tc>
                <w:tcPr>
                  <w:tcW w:w="1760" w:type="dxa"/>
                  <w:vAlign w:val="center"/>
                </w:tcPr>
                <w:p w14:paraId="7CA913E7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数据库迁移</w:t>
                  </w:r>
                </w:p>
              </w:tc>
              <w:tc>
                <w:tcPr>
                  <w:tcW w:w="2934" w:type="dxa"/>
                  <w:vAlign w:val="center"/>
                </w:tcPr>
                <w:p w14:paraId="56C0D854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Flyway</w:t>
                  </w:r>
                </w:p>
              </w:tc>
              <w:tc>
                <w:tcPr>
                  <w:tcW w:w="4826" w:type="dxa"/>
                  <w:vAlign w:val="center"/>
                </w:tcPr>
                <w:p w14:paraId="2D0DAB67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数据库版本控制，SQL 迁移脚本可追溯、可复现</w:t>
                  </w:r>
                </w:p>
              </w:tc>
            </w:tr>
            <w:tr w14:paraId="2463D212">
              <w:tc>
                <w:tcPr>
                  <w:tcW w:w="1760" w:type="dxa"/>
                  <w:vAlign w:val="center"/>
                </w:tcPr>
                <w:p w14:paraId="799D3587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部署</w:t>
                  </w:r>
                </w:p>
              </w:tc>
              <w:tc>
                <w:tcPr>
                  <w:tcW w:w="2934" w:type="dxa"/>
                  <w:vAlign w:val="center"/>
                </w:tcPr>
                <w:p w14:paraId="6CBD431D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Docker Compose + Nginx</w:t>
                  </w:r>
                </w:p>
              </w:tc>
              <w:tc>
                <w:tcPr>
                  <w:tcW w:w="4826" w:type="dxa"/>
                  <w:vAlign w:val="center"/>
                </w:tcPr>
                <w:p w14:paraId="719DDBAC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一键启动 MySQL + Redis + Backend + Frontend (Nginx)；环境一致、可复现</w:t>
                  </w:r>
                </w:p>
              </w:tc>
            </w:tr>
            <w:tr w14:paraId="1DDE2510">
              <w:tc>
                <w:tcPr>
                  <w:tcW w:w="1760" w:type="dxa"/>
                  <w:vAlign w:val="center"/>
                </w:tcPr>
                <w:p w14:paraId="50E91F1D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API 文档</w:t>
                  </w:r>
                </w:p>
              </w:tc>
              <w:tc>
                <w:tcPr>
                  <w:tcW w:w="2934" w:type="dxa"/>
                  <w:vAlign w:val="center"/>
                </w:tcPr>
                <w:p w14:paraId="09E8C290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SpringDoc OpenAPI</w:t>
                  </w:r>
                </w:p>
              </w:tc>
              <w:tc>
                <w:tcPr>
                  <w:tcW w:w="4826" w:type="dxa"/>
                  <w:vAlign w:val="center"/>
                </w:tcPr>
                <w:p w14:paraId="11827F76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自动生成 Swagger UI；支持在线调试 API</w:t>
                  </w:r>
                </w:p>
              </w:tc>
            </w:tr>
            <w:tr w14:paraId="65F5BF21">
              <w:tc>
                <w:tcPr>
                  <w:tcW w:w="1760" w:type="dxa"/>
                  <w:vAlign w:val="center"/>
                </w:tcPr>
                <w:p w14:paraId="63BAD39C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AI 集成</w:t>
                  </w:r>
                </w:p>
              </w:tc>
              <w:tc>
                <w:tcPr>
                  <w:tcW w:w="2934" w:type="dxa"/>
                  <w:vAlign w:val="center"/>
                </w:tcPr>
                <w:p w14:paraId="75E57B3B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OpenAI 兼容 API</w:t>
                  </w:r>
                </w:p>
              </w:tc>
              <w:tc>
                <w:tcPr>
                  <w:tcW w:w="4826" w:type="dxa"/>
                  <w:vAlign w:val="center"/>
                </w:tcPr>
                <w:p w14:paraId="1315FA60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支持 DeepSeek/OpenAI 等多种 LLM Provider；可选启用，不可用时自动 fallback 模板文案</w:t>
                  </w:r>
                </w:p>
              </w:tc>
            </w:tr>
            <w:tr w14:paraId="177B0541">
              <w:tc>
                <w:tcPr>
                  <w:tcW w:w="1760" w:type="dxa"/>
                  <w:vAlign w:val="center"/>
                </w:tcPr>
                <w:p w14:paraId="11465C87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测试</w:t>
                  </w:r>
                </w:p>
              </w:tc>
              <w:tc>
                <w:tcPr>
                  <w:tcW w:w="2934" w:type="dxa"/>
                  <w:vAlign w:val="center"/>
                </w:tcPr>
                <w:p w14:paraId="6A5CD217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JUnit 5 + JaCoCo</w:t>
                  </w:r>
                </w:p>
              </w:tc>
              <w:tc>
                <w:tcPr>
                  <w:tcW w:w="4826" w:type="dxa"/>
                  <w:vAlign w:val="center"/>
                </w:tcPr>
                <w:p w14:paraId="35E6EE2B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单元测试 + 覆盖率报告；k6 性能压测</w:t>
                  </w:r>
                </w:p>
              </w:tc>
            </w:tr>
          </w:tbl>
          <w:p w14:paraId="5121AB8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42ACE43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架构模式：前后端分离 + 模块化单体后端。前后端通过 RESTful API (JSON) 通信。</w:t>
            </w:r>
          </w:p>
          <w:p w14:paraId="1399213F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理由：课程项目团队规模 </w:t>
            </w:r>
            <w:r>
              <w:rPr>
                <w:rFonts w:hint="eastAsia"/>
                <w:b w:val="0"/>
                <w:color w:val="2B2B2B"/>
                <w:sz w:val="20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 人，单体架构降低分布式复杂度，但内部按领域分包（auth/user/store/order/payment/…），便于后续拆分为微服务。</w:t>
            </w:r>
          </w:p>
        </w:tc>
      </w:tr>
    </w:tbl>
    <w:p w14:paraId="537892C4"/>
    <w:p w14:paraId="1A969E08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项目计划</w:t>
      </w:r>
    </w:p>
    <w:p w14:paraId="02E990A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6.1  甘特图（按 D1-D14 分阶段）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0723340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1645C36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项目周期：2026-06-09 至 2026-06-21（约 2 周，14 天），按 D1-D14 分阶段推进。</w:t>
            </w:r>
          </w:p>
          <w:p w14:paraId="5FF7D327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drawing>
                <wp:inline distT="0" distB="0" distL="114300" distR="114300">
                  <wp:extent cx="6045200" cy="1231900"/>
                  <wp:effectExtent l="0" t="0" r="0" b="12700"/>
                  <wp:docPr id="1" name="图片 1" descr="截屏2026-06-13 20.49.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截屏2026-06-13 20.49.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D6AA6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关键时间节点：</w:t>
            </w:r>
          </w:p>
          <w:p w14:paraId="56772DF7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D1（06/09）：完成立项答辩，D-01 开题报告定稿</w:t>
            </w:r>
          </w:p>
          <w:p w14:paraId="60E06012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D3（06/11）：完成概要设计，D-02/D-03 初稿</w:t>
            </w:r>
          </w:p>
          <w:p w14:paraId="057FF7E2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D8（06/16）：核心功能开发完成，进入测试阶段</w:t>
            </w:r>
          </w:p>
          <w:p w14:paraId="0ED7A045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D11（06/19）：测试与压测完成，D-06 测试报告定稿</w:t>
            </w:r>
          </w:p>
          <w:p w14:paraId="3B3FB516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D14（06/22）：答辩 PPT 与演示脚本完成，全组答辩演练</w:t>
            </w:r>
          </w:p>
        </w:tc>
      </w:tr>
    </w:tbl>
    <w:p w14:paraId="2EDB5FC4"/>
    <w:p w14:paraId="35D766EB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6.2  里程碑与责任人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E4ADC38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Style w:val="3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79"/>
              <w:gridCol w:w="2380"/>
              <w:gridCol w:w="2381"/>
              <w:gridCol w:w="2380"/>
            </w:tblGrid>
            <w:tr w14:paraId="291A3C09">
              <w:tc>
                <w:tcPr>
                  <w:tcW w:w="2382" w:type="dxa"/>
                  <w:vAlign w:val="center"/>
                </w:tcPr>
                <w:p w14:paraId="38C13C7B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里程碑</w:t>
                  </w:r>
                </w:p>
              </w:tc>
              <w:tc>
                <w:tcPr>
                  <w:tcW w:w="2382" w:type="dxa"/>
                  <w:vAlign w:val="center"/>
                </w:tcPr>
                <w:p w14:paraId="45AD4B46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交付物</w:t>
                  </w:r>
                </w:p>
              </w:tc>
              <w:tc>
                <w:tcPr>
                  <w:tcW w:w="2383" w:type="dxa"/>
                  <w:vAlign w:val="center"/>
                </w:tcPr>
                <w:p w14:paraId="20AEE8C1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计划日期</w:t>
                  </w:r>
                </w:p>
              </w:tc>
              <w:tc>
                <w:tcPr>
                  <w:tcW w:w="2383" w:type="dxa"/>
                  <w:vAlign w:val="center"/>
                </w:tcPr>
                <w:p w14:paraId="2BA8B876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责任人</w:t>
                  </w:r>
                </w:p>
              </w:tc>
            </w:tr>
            <w:tr w14:paraId="7B9832AB">
              <w:tc>
                <w:tcPr>
                  <w:tcW w:w="2382" w:type="dxa"/>
                  <w:vAlign w:val="center"/>
                </w:tcPr>
                <w:p w14:paraId="55D46F75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M0-立项</w:t>
                  </w:r>
                </w:p>
              </w:tc>
              <w:tc>
                <w:tcPr>
                  <w:tcW w:w="2382" w:type="dxa"/>
                  <w:vAlign w:val="center"/>
                </w:tcPr>
                <w:p w14:paraId="6D54270E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D-01 开题报告通过</w:t>
                  </w:r>
                </w:p>
              </w:tc>
              <w:tc>
                <w:tcPr>
                  <w:tcW w:w="2383" w:type="dxa"/>
                  <w:vAlign w:val="center"/>
                </w:tcPr>
                <w:p w14:paraId="6996F1FE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06/09</w:t>
                  </w:r>
                </w:p>
              </w:tc>
              <w:tc>
                <w:tcPr>
                  <w:tcW w:w="2383" w:type="dxa"/>
                  <w:vAlign w:val="center"/>
                </w:tcPr>
                <w:p w14:paraId="05ED4289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全员</w:t>
                  </w:r>
                </w:p>
              </w:tc>
            </w:tr>
            <w:tr w14:paraId="3507BB9D">
              <w:tc>
                <w:tcPr>
                  <w:tcW w:w="2382" w:type="dxa"/>
                  <w:vAlign w:val="center"/>
                </w:tcPr>
                <w:p w14:paraId="5A76B1F0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M1-设计完成</w:t>
                  </w:r>
                </w:p>
              </w:tc>
              <w:tc>
                <w:tcPr>
                  <w:tcW w:w="2382" w:type="dxa"/>
                  <w:vAlign w:val="center"/>
                </w:tcPr>
                <w:p w14:paraId="39A8F6F8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D-02 SRS + D-03 概要 + D-04 详细 + D-05 DB 设计</w:t>
                  </w:r>
                </w:p>
              </w:tc>
              <w:tc>
                <w:tcPr>
                  <w:tcW w:w="2383" w:type="dxa"/>
                  <w:vAlign w:val="center"/>
                </w:tcPr>
                <w:p w14:paraId="36490467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06/11</w:t>
                  </w:r>
                </w:p>
              </w:tc>
              <w:tc>
                <w:tcPr>
                  <w:tcW w:w="2383" w:type="dxa"/>
                  <w:vAlign w:val="center"/>
                </w:tcPr>
                <w:p w14:paraId="788604E9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全员</w:t>
                  </w:r>
                </w:p>
              </w:tc>
            </w:tr>
            <w:tr w14:paraId="3BAE0F9C">
              <w:tc>
                <w:tcPr>
                  <w:tcW w:w="2382" w:type="dxa"/>
                  <w:vAlign w:val="center"/>
                </w:tcPr>
                <w:p w14:paraId="2D9F2358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M2-核心可用</w:t>
                  </w:r>
                </w:p>
              </w:tc>
              <w:tc>
                <w:tcPr>
                  <w:tcW w:w="2382" w:type="dxa"/>
                  <w:vAlign w:val="center"/>
                </w:tcPr>
                <w:p w14:paraId="00164F90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6 个必做模块可演示</w:t>
                  </w:r>
                </w:p>
              </w:tc>
              <w:tc>
                <w:tcPr>
                  <w:tcW w:w="2383" w:type="dxa"/>
                  <w:vAlign w:val="center"/>
                </w:tcPr>
                <w:p w14:paraId="3E3DEAC2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06/16</w:t>
                  </w:r>
                </w:p>
              </w:tc>
              <w:tc>
                <w:tcPr>
                  <w:tcW w:w="2383" w:type="dxa"/>
                  <w:vAlign w:val="center"/>
                </w:tcPr>
                <w:p w14:paraId="4FDA5906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全员</w:t>
                  </w:r>
                </w:p>
              </w:tc>
            </w:tr>
            <w:tr w14:paraId="3DD1EE97">
              <w:tc>
                <w:tcPr>
                  <w:tcW w:w="2382" w:type="dxa"/>
                  <w:vAlign w:val="center"/>
                </w:tcPr>
                <w:p w14:paraId="1E32CEA2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M3-测试完成</w:t>
                  </w:r>
                </w:p>
              </w:tc>
              <w:tc>
                <w:tcPr>
                  <w:tcW w:w="2382" w:type="dxa"/>
                  <w:vAlign w:val="center"/>
                </w:tcPr>
                <w:p w14:paraId="1BFAA061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D-06 测试报告 + 压测结果</w:t>
                  </w:r>
                </w:p>
              </w:tc>
              <w:tc>
                <w:tcPr>
                  <w:tcW w:w="2383" w:type="dxa"/>
                  <w:vAlign w:val="center"/>
                </w:tcPr>
                <w:p w14:paraId="7DC930D0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06/19</w:t>
                  </w:r>
                </w:p>
              </w:tc>
              <w:tc>
                <w:tcPr>
                  <w:tcW w:w="2383" w:type="dxa"/>
                  <w:vAlign w:val="center"/>
                </w:tcPr>
                <w:p w14:paraId="2439C3A5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全员</w:t>
                  </w:r>
                </w:p>
              </w:tc>
            </w:tr>
            <w:tr w14:paraId="3C6B21F0">
              <w:tc>
                <w:tcPr>
                  <w:tcW w:w="2382" w:type="dxa"/>
                  <w:vAlign w:val="center"/>
                </w:tcPr>
                <w:p w14:paraId="05DA53DD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M4-部署就绪</w:t>
                  </w:r>
                </w:p>
              </w:tc>
              <w:tc>
                <w:tcPr>
                  <w:tcW w:w="2382" w:type="dxa"/>
                  <w:vAlign w:val="center"/>
                </w:tcPr>
                <w:p w14:paraId="2472BC75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docker compose up 一键启动</w:t>
                  </w:r>
                </w:p>
              </w:tc>
              <w:tc>
                <w:tcPr>
                  <w:tcW w:w="2383" w:type="dxa"/>
                  <w:vAlign w:val="center"/>
                </w:tcPr>
                <w:p w14:paraId="660A376C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06/20</w:t>
                  </w:r>
                </w:p>
              </w:tc>
              <w:tc>
                <w:tcPr>
                  <w:tcW w:w="2383" w:type="dxa"/>
                  <w:vAlign w:val="center"/>
                </w:tcPr>
                <w:p w14:paraId="2F8ADD73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全员</w:t>
                  </w:r>
                </w:p>
              </w:tc>
            </w:tr>
            <w:tr w14:paraId="57BD00B3">
              <w:tc>
                <w:tcPr>
                  <w:tcW w:w="2382" w:type="dxa"/>
                  <w:vAlign w:val="center"/>
                </w:tcPr>
                <w:p w14:paraId="29A8DEBB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M5-交付就绪</w:t>
                  </w:r>
                </w:p>
              </w:tc>
              <w:tc>
                <w:tcPr>
                  <w:tcW w:w="2382" w:type="dxa"/>
                  <w:vAlign w:val="center"/>
                </w:tcPr>
                <w:p w14:paraId="40D32BAB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12+5 交付物完备</w:t>
                  </w:r>
                </w:p>
              </w:tc>
              <w:tc>
                <w:tcPr>
                  <w:tcW w:w="2383" w:type="dxa"/>
                  <w:vAlign w:val="center"/>
                </w:tcPr>
                <w:p w14:paraId="1BBD0754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06/21</w:t>
                  </w:r>
                </w:p>
              </w:tc>
              <w:tc>
                <w:tcPr>
                  <w:tcW w:w="2383" w:type="dxa"/>
                  <w:vAlign w:val="center"/>
                </w:tcPr>
                <w:p w14:paraId="0588629A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全员</w:t>
                  </w:r>
                </w:p>
              </w:tc>
            </w:tr>
            <w:tr w14:paraId="07A6F43E">
              <w:tc>
                <w:tcPr>
                  <w:tcW w:w="2382" w:type="dxa"/>
                  <w:vAlign w:val="center"/>
                </w:tcPr>
                <w:p w14:paraId="468F4C5A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M6-答辩就绪</w:t>
                  </w:r>
                </w:p>
              </w:tc>
              <w:tc>
                <w:tcPr>
                  <w:tcW w:w="2382" w:type="dxa"/>
                  <w:vAlign w:val="center"/>
                </w:tcPr>
                <w:p w14:paraId="79928C60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D-10 PPT + D-11 演示脚本</w:t>
                  </w:r>
                </w:p>
              </w:tc>
              <w:tc>
                <w:tcPr>
                  <w:tcW w:w="2383" w:type="dxa"/>
                  <w:vAlign w:val="center"/>
                </w:tcPr>
                <w:p w14:paraId="1A2A57EE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06/22</w:t>
                  </w:r>
                </w:p>
              </w:tc>
              <w:tc>
                <w:tcPr>
                  <w:tcW w:w="2383" w:type="dxa"/>
                  <w:vAlign w:val="center"/>
                </w:tcPr>
                <w:p w14:paraId="68B54834">
                  <w:pPr>
                    <w:spacing w:after="40" w:line="336" w:lineRule="auto"/>
                    <w:rPr>
                      <w:rFonts w:ascii="微软雅黑" w:hAnsi="微软雅黑" w:eastAsia="微软雅黑"/>
                      <w:b w:val="0"/>
                      <w:color w:val="2B2B2B"/>
                      <w:sz w:val="20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全员</w:t>
                  </w:r>
                </w:p>
              </w:tc>
            </w:tr>
          </w:tbl>
          <w:p w14:paraId="30F33C3A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</w:tc>
      </w:tr>
    </w:tbl>
    <w:p w14:paraId="1E713DD5"/>
    <w:p w14:paraId="496B48E0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6.3  团队分工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8EED43C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2111C51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tbl>
            <w:tblPr>
              <w:tblStyle w:val="3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79"/>
              <w:gridCol w:w="2380"/>
              <w:gridCol w:w="2381"/>
              <w:gridCol w:w="2380"/>
            </w:tblGrid>
            <w:tr w14:paraId="66FF34AE">
              <w:tc>
                <w:tcPr>
                  <w:tcW w:w="2382" w:type="dxa"/>
                  <w:vAlign w:val="center"/>
                </w:tcPr>
                <w:p w14:paraId="3A386AD7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角色</w:t>
                  </w:r>
                </w:p>
              </w:tc>
              <w:tc>
                <w:tcPr>
                  <w:tcW w:w="2382" w:type="dxa"/>
                  <w:vAlign w:val="center"/>
                </w:tcPr>
                <w:p w14:paraId="26956019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姓名</w:t>
                  </w:r>
                </w:p>
              </w:tc>
              <w:tc>
                <w:tcPr>
                  <w:tcW w:w="2383" w:type="dxa"/>
                  <w:vAlign w:val="center"/>
                </w:tcPr>
                <w:p w14:paraId="020D2D80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主要任务</w:t>
                  </w:r>
                </w:p>
              </w:tc>
              <w:tc>
                <w:tcPr>
                  <w:tcW w:w="2383" w:type="dxa"/>
                  <w:vAlign w:val="center"/>
                </w:tcPr>
                <w:p w14:paraId="74CFE2E7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备份人</w:t>
                  </w:r>
                </w:p>
              </w:tc>
            </w:tr>
            <w:tr w14:paraId="3CD30252">
              <w:tc>
                <w:tcPr>
                  <w:tcW w:w="2382" w:type="dxa"/>
                  <w:vAlign w:val="center"/>
                </w:tcPr>
                <w:p w14:paraId="6D551F3E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0"/>
                      <w:lang w:val="en-US" w:eastAsia="zh-CN"/>
                    </w:rPr>
                    <w:t>文档</w:t>
                  </w:r>
                </w:p>
              </w:tc>
              <w:tc>
                <w:tcPr>
                  <w:tcW w:w="2382" w:type="dxa"/>
                  <w:vAlign w:val="center"/>
                </w:tcPr>
                <w:p w14:paraId="0D27A6ED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0"/>
                      <w:lang w:val="en-US" w:eastAsia="zh-CN"/>
                    </w:rPr>
                    <w:t>杨昊田，赵禹昊，张晓辉，陶浩然，张森柏</w:t>
                  </w:r>
                </w:p>
              </w:tc>
              <w:tc>
                <w:tcPr>
                  <w:tcW w:w="2383" w:type="dxa"/>
                  <w:vAlign w:val="center"/>
                </w:tcPr>
                <w:p w14:paraId="067EF314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项目管理、文档</w:t>
                  </w:r>
                  <w:r>
                    <w:rPr>
                      <w:rFonts w:hint="eastAsia"/>
                      <w:b w:val="0"/>
                      <w:color w:val="2B2B2B"/>
                      <w:sz w:val="20"/>
                      <w:lang w:val="en-US" w:eastAsia="zh-CN"/>
                    </w:rPr>
                    <w:t>撰写</w: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、交付物索引、答辩统筹</w:t>
                  </w:r>
                </w:p>
              </w:tc>
              <w:tc>
                <w:tcPr>
                  <w:tcW w:w="2383" w:type="dxa"/>
                  <w:vAlign w:val="center"/>
                </w:tcPr>
                <w:p w14:paraId="1129703D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0"/>
                      <w:lang w:val="en-US" w:eastAsia="zh-CN"/>
                    </w:rPr>
                    <w:t>全员</w:t>
                  </w:r>
                </w:p>
              </w:tc>
            </w:tr>
            <w:tr w14:paraId="0349E3CB">
              <w:tc>
                <w:tcPr>
                  <w:tcW w:w="2382" w:type="dxa"/>
                  <w:vAlign w:val="center"/>
                </w:tcPr>
                <w:p w14:paraId="5A7C646F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后端开发</w:t>
                  </w:r>
                </w:p>
              </w:tc>
              <w:tc>
                <w:tcPr>
                  <w:tcW w:w="2382" w:type="dxa"/>
                  <w:vAlign w:val="center"/>
                </w:tcPr>
                <w:p w14:paraId="11E969BE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0"/>
                      <w:lang w:val="en-US" w:eastAsia="zh-CN"/>
                    </w:rPr>
                    <w:t>杨昊田，赵禹昊，张晓辉，陶浩然，张森柏</w:t>
                  </w:r>
                </w:p>
              </w:tc>
              <w:tc>
                <w:tcPr>
                  <w:tcW w:w="2383" w:type="dxa"/>
                  <w:vAlign w:val="center"/>
                </w:tcPr>
                <w:p w14:paraId="52C75405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Spring Boot 后端开发（预约/订单/支付/推荐/安全）、数据库设计、Docker 部署、CI/CD</w:t>
                  </w:r>
                </w:p>
              </w:tc>
              <w:tc>
                <w:tcPr>
                  <w:tcW w:w="2383" w:type="dxa"/>
                  <w:vAlign w:val="center"/>
                </w:tcPr>
                <w:p w14:paraId="2E5FD07C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0"/>
                      <w:lang w:val="en-US" w:eastAsia="zh-CN"/>
                    </w:rPr>
                    <w:t>全员</w:t>
                  </w:r>
                </w:p>
              </w:tc>
            </w:tr>
            <w:tr w14:paraId="396DB5F6">
              <w:tc>
                <w:tcPr>
                  <w:tcW w:w="2382" w:type="dxa"/>
                  <w:vAlign w:val="center"/>
                </w:tcPr>
                <w:p w14:paraId="19FB4FB6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前端开发</w:t>
                  </w:r>
                </w:p>
              </w:tc>
              <w:tc>
                <w:tcPr>
                  <w:tcW w:w="2382" w:type="dxa"/>
                  <w:vAlign w:val="center"/>
                </w:tcPr>
                <w:p w14:paraId="51F00DE2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0"/>
                      <w:lang w:val="en-US" w:eastAsia="zh-CN"/>
                    </w:rPr>
                    <w:t>杨昊田，赵禹昊，张晓辉，陶浩然，张森柏</w:t>
                  </w:r>
                </w:p>
              </w:tc>
              <w:tc>
                <w:tcPr>
                  <w:tcW w:w="2383" w:type="dxa"/>
                  <w:vAlign w:val="center"/>
                </w:tcPr>
                <w:p w14:paraId="12F03C53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Vue 3 前端开发（全部页面/路由/状态管理/API 对接）</w:t>
                  </w:r>
                </w:p>
              </w:tc>
              <w:tc>
                <w:tcPr>
                  <w:tcW w:w="2383" w:type="dxa"/>
                  <w:vAlign w:val="center"/>
                </w:tcPr>
                <w:p w14:paraId="5B8433BE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0"/>
                      <w:lang w:val="en-US" w:eastAsia="zh-CN"/>
                    </w:rPr>
                    <w:t>全员</w:t>
                  </w:r>
                </w:p>
              </w:tc>
            </w:tr>
            <w:tr w14:paraId="38681252">
              <w:tc>
                <w:tcPr>
                  <w:tcW w:w="2382" w:type="dxa"/>
                  <w:vAlign w:val="center"/>
                </w:tcPr>
                <w:p w14:paraId="65B958E1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测试/质量</w:t>
                  </w:r>
                </w:p>
              </w:tc>
              <w:tc>
                <w:tcPr>
                  <w:tcW w:w="2382" w:type="dxa"/>
                  <w:vAlign w:val="center"/>
                </w:tcPr>
                <w:p w14:paraId="4C2CE43A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0"/>
                      <w:lang w:val="en-US" w:eastAsia="zh-CN"/>
                    </w:rPr>
                    <w:t>杨昊田</w:t>
                  </w:r>
                </w:p>
              </w:tc>
              <w:tc>
                <w:tcPr>
                  <w:tcW w:w="2383" w:type="dxa"/>
                  <w:vAlign w:val="center"/>
                </w:tcPr>
                <w:p w14:paraId="559772B5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测试用例编写与执行（单元/接口/性能）、k6 压测脚本、OWASP 自查、D-0</w:t>
                  </w:r>
                  <w:r>
                    <w:rPr>
                      <w:rFonts w:hint="eastAsia"/>
                      <w:b w:val="0"/>
                      <w:color w:val="2B2B2B"/>
                      <w:sz w:val="20"/>
                      <w:lang w:val="en-US" w:eastAsia="zh-CN"/>
                    </w:rPr>
                    <w:t>6</w:t>
                  </w:r>
                  <w:r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  <w:t>文档</w:t>
                  </w:r>
                </w:p>
              </w:tc>
              <w:tc>
                <w:tcPr>
                  <w:tcW w:w="2383" w:type="dxa"/>
                  <w:vAlign w:val="center"/>
                </w:tcPr>
                <w:p w14:paraId="667E8BEB">
                  <w:pPr>
                    <w:spacing w:after="40" w:line="336" w:lineRule="auto"/>
                    <w:rPr>
                      <w:rFonts w:hint="default" w:ascii="微软雅黑" w:hAnsi="微软雅黑" w:eastAsia="微软雅黑"/>
                      <w:b w:val="0"/>
                      <w:color w:val="2B2B2B"/>
                      <w:sz w:val="20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2B2B2B"/>
                      <w:sz w:val="20"/>
                      <w:lang w:val="en-US" w:eastAsia="zh-CN"/>
                    </w:rPr>
                    <w:t>杨昊田</w:t>
                  </w:r>
                </w:p>
              </w:tc>
            </w:tr>
          </w:tbl>
          <w:p w14:paraId="3D047C3D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1CCCCF77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协作约定：</w:t>
            </w:r>
          </w:p>
          <w:p w14:paraId="3DA5AD2B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每日站会（10 min）：同步进度、阻塞点、当日计划</w:t>
            </w:r>
          </w:p>
          <w:p w14:paraId="7BF149BF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代码评审：所有 PR 至少 1 人 review 后合并</w:t>
            </w:r>
          </w:p>
          <w:p w14:paraId="4826171F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文档协作：使用 Git 管理文档源文件（Markdown/Word），避免版本混乱</w:t>
            </w:r>
          </w:p>
          <w:p w14:paraId="0AF3441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• 沟通工具：微信群 + GitHub Issues + GitHub Projects</w:t>
            </w:r>
          </w:p>
        </w:tc>
      </w:tr>
    </w:tbl>
    <w:p w14:paraId="35AA463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37C3438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94A35B2">
            <w:pPr>
              <w:spacing w:after="1600"/>
            </w:pPr>
            <w:r>
              <w:rPr>
                <w:rFonts w:ascii="微软雅黑" w:hAnsi="微软雅黑"/>
                <w:sz w:val="20"/>
              </w:rPr>
              <w:t>以上项目计划已根据课程设计时间节点（D1-D14）排期，各阶段里程碑有明确的交付物、责任人和时间约束，确保项目按期交付。</w:t>
            </w:r>
          </w:p>
        </w:tc>
      </w:tr>
    </w:tbl>
    <w:p w14:paraId="778FA9B4"/>
    <w:p w14:paraId="1F9BD62A">
      <w:pPr>
        <w:keepNext/>
        <w:pBdr>
          <w:bottom w:val="single" w:color="1A7A3D" w:sz="8" w:space="4"/>
        </w:pBdr>
        <w:spacing w:before="280" w:after="120"/>
        <w:rPr>
          <w:rFonts w:ascii="微软雅黑" w:hAnsi="微软雅黑" w:eastAsia="微软雅黑"/>
          <w:b/>
          <w:color w:val="1A7A3D"/>
          <w:sz w:val="36"/>
        </w:rPr>
      </w:pPr>
      <w:r>
        <w:rPr>
          <w:rFonts w:ascii="微软雅黑" w:hAnsi="微软雅黑" w:eastAsia="微软雅黑"/>
          <w:b/>
          <w:color w:val="1A7A3D"/>
          <w:sz w:val="36"/>
        </w:rPr>
        <w:t>7  风险登记册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850"/>
        <w:gridCol w:w="850"/>
        <w:gridCol w:w="2835"/>
        <w:gridCol w:w="1094"/>
      </w:tblGrid>
      <w:tr w14:paraId="748DD993">
        <w:trPr>
          <w:jc w:val="center"/>
        </w:trPr>
        <w:tc>
          <w:tcPr>
            <w:tcW w:w="850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158FE92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w="2835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0362469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风险描述</w:t>
            </w:r>
          </w:p>
        </w:tc>
        <w:tc>
          <w:tcPr>
            <w:tcW w:w="850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6FECA55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可能性</w:t>
            </w:r>
          </w:p>
        </w:tc>
        <w:tc>
          <w:tcPr>
            <w:tcW w:w="850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2DE06A4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w="2835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138498A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  <w:tc>
          <w:tcPr>
            <w:tcW w:w="1094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26D7C76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 w14:paraId="3A223920">
        <w:trPr>
          <w:jc w:val="center"/>
        </w:trPr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BDC37D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R-01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6484F8F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示例：第三方支付接口不稳定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837F0B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中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2B3708C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高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689A0F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加超时重试 + 降级Mock</w:t>
            </w:r>
          </w:p>
        </w:tc>
        <w:tc>
          <w:tcPr>
            <w:tcW w:w="109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C104944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________</w:t>
            </w:r>
          </w:p>
        </w:tc>
      </w:tr>
      <w:tr w14:paraId="682EDFB8">
        <w:trPr>
          <w:jc w:val="center"/>
        </w:trPr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241E9B1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R-02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01C57B97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示例：组员考试期间产能下降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50743CF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高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082C1222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中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7FD2CBF6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提前 D8 完成核心，预留缓冲</w:t>
            </w:r>
          </w:p>
        </w:tc>
        <w:tc>
          <w:tcPr>
            <w:tcW w:w="109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595F6CEA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________</w:t>
            </w:r>
          </w:p>
        </w:tc>
      </w:tr>
      <w:tr w14:paraId="00007191">
        <w:trPr>
          <w:jc w:val="center"/>
        </w:trPr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688AB0E2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R-03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77B3E02F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后端核心功能开发进度滞后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D745840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中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6AD645C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高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0E4D6F7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优先 MVP Must Have 功能，Should/Could Have 功能按进度取舍；预留 2 天缓冲</w:t>
            </w:r>
          </w:p>
        </w:tc>
        <w:tc>
          <w:tcPr>
            <w:tcW w:w="109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07130375">
            <w:pPr>
              <w:rPr>
                <w:rFonts w:hint="default" w:ascii="微软雅黑" w:hAnsi="微软雅黑" w:eastAsia="微软雅黑"/>
                <w:b w:val="0"/>
                <w:color w:val="2B2B2B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陶浩然</w:t>
            </w:r>
            <w:bookmarkStart w:id="0" w:name="_GoBack"/>
            <w:bookmarkEnd w:id="0"/>
          </w:p>
        </w:tc>
      </w:tr>
      <w:tr w14:paraId="4718480F">
        <w:trPr>
          <w:jc w:val="center"/>
        </w:trPr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2226533B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R-05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F2B6ABC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AI 推荐接口不可用或效果不佳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9968A5B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高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EAABE4A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低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7312FF92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默认使用规则推荐 + 模板文案（启发式推荐）；AI 作为可选增强，不可用时不影响核心功能</w:t>
            </w:r>
          </w:p>
        </w:tc>
        <w:tc>
          <w:tcPr>
            <w:tcW w:w="109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59EBEED">
            <w:pPr>
              <w:rPr>
                <w:rFonts w:hint="default" w:ascii="微软雅黑" w:hAnsi="微软雅黑" w:eastAsia="微软雅黑"/>
                <w:b w:val="0"/>
                <w:color w:val="2B2B2B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杨昊田</w:t>
            </w:r>
          </w:p>
        </w:tc>
      </w:tr>
      <w:tr w14:paraId="6DB570EA">
        <w:trPr>
          <w:jc w:val="center"/>
        </w:trPr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37CF822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R-06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9DE2C95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Docker 在评委电脑上出现兼容性问题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EFEB659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低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F3EB6C6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高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731D7EC6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提前在不同环境测试 docker compose up；准备手动启动备选方案并写入 D-08</w:t>
            </w:r>
          </w:p>
        </w:tc>
        <w:tc>
          <w:tcPr>
            <w:tcW w:w="109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034AE42">
            <w:pPr>
              <w:rPr>
                <w:rFonts w:hint="default" w:ascii="微软雅黑" w:hAnsi="微软雅黑" w:eastAsia="微软雅黑"/>
                <w:b w:val="0"/>
                <w:color w:val="2B2B2B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张晓辉</w:t>
            </w:r>
          </w:p>
        </w:tc>
      </w:tr>
      <w:tr w14:paraId="6124C79E">
        <w:trPr>
          <w:jc w:val="center"/>
        </w:trPr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2AA9DAF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R-07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0288E33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数据库 seed 数据不足导致演示空态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61E45C28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中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BB3B085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中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E64CF38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准备充足的演示 seed 数据（3 门店 + 5 猫咪 + 健康记录 + 订单覆盖各状态）</w:t>
            </w:r>
          </w:p>
        </w:tc>
        <w:tc>
          <w:tcPr>
            <w:tcW w:w="109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C4868EA">
            <w:pPr>
              <w:rPr>
                <w:rFonts w:hint="default" w:ascii="微软雅黑" w:hAnsi="微软雅黑" w:eastAsia="微软雅黑"/>
                <w:b w:val="0"/>
                <w:color w:val="2B2B2B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张森柏</w:t>
            </w:r>
          </w:p>
        </w:tc>
      </w:tr>
      <w:tr w14:paraId="559A1DB3">
        <w:trPr>
          <w:jc w:val="center"/>
        </w:trPr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DB0E602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R-08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4589E2BA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答辩时网络/环境故障导致演示中断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7C6468BA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低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54E44F0F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高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11F6053F">
            <w:pPr>
              <w:rPr>
                <w:rFonts w:ascii="微软雅黑" w:hAnsi="微软雅黑" w:eastAsia="微软雅黑"/>
                <w:b w:val="0"/>
                <w:color w:val="2B2B2B"/>
                <w:sz w:val="19"/>
              </w:rPr>
            </w:pPr>
            <w:r>
              <w:rPr>
                <w:rFonts w:ascii="微软雅黑" w:hAnsi="微软雅黑"/>
                <w:sz w:val="20"/>
              </w:rPr>
              <w:t>准备本地 localhost 完整环境；提前录制演示视频作为备份；PPT 中包含关键页面截图</w:t>
            </w:r>
          </w:p>
        </w:tc>
        <w:tc>
          <w:tcPr>
            <w:tcW w:w="1094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top"/>
          </w:tcPr>
          <w:p w14:paraId="3FBC1520">
            <w:pPr>
              <w:rPr>
                <w:rFonts w:hint="default" w:ascii="微软雅黑" w:hAnsi="微软雅黑" w:eastAsia="微软雅黑"/>
                <w:b w:val="0"/>
                <w:color w:val="2B2B2B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赵禹昊</w:t>
            </w:r>
          </w:p>
        </w:tc>
      </w:tr>
    </w:tbl>
    <w:p w14:paraId="7D4657F9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CF6D04F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52107D5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风险管理策略：</w:t>
            </w:r>
          </w:p>
          <w:p w14:paraId="796871A4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1. 每周风险评审：在每日站会中同步风险状态，发现新风险及时登记。</w:t>
            </w:r>
          </w:p>
          <w:p w14:paraId="50CF795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2. 分级应对：高影响风险（R-03/R-06/R-08）提前制定详细应急预案；低影响风险（R-05）以监控为主。</w:t>
            </w:r>
          </w:p>
          <w:p w14:paraId="74210A40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3. 缓冲时间：在 D8-D11 之间预留了 2 天缓冲，用于应对开发延期或测试不通过的情况。</w:t>
            </w:r>
          </w:p>
          <w:p w14:paraId="657D7A10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4. 技术风险规避：AI 推荐设计为可选增强模式，关闭后不影响系统正常运行，从架构层面规避了外部 API 不可用的风险。</w:t>
            </w:r>
          </w:p>
        </w:tc>
      </w:tr>
    </w:tbl>
    <w:p w14:paraId="2E73AA60"/>
    <w:p w14:paraId="4CE64944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8  立项答辩自评清单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67FC8A9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8BF805E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☑ 业务真实性：猫咖行业确实存在预约管理、排队管理、猫咪健康管理的数字化需求，项目场景来源于真实行业痛点，非凭空虚构。</w:t>
            </w:r>
          </w:p>
          <w:p w14:paraId="0D411C37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2D519C55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☑ 规模合适性：5 角色、6 必做模块 + 3 选做模块，27 张数据库表，约 20 个后端 Controller、28 个前端 View 组件，工作量适合 </w:t>
            </w:r>
            <w:r>
              <w:rPr>
                <w:rFonts w:hint="eastAsia"/>
                <w:b w:val="0"/>
                <w:color w:val="2B2B2B"/>
                <w:sz w:val="20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 人团队 2 周完成。</w:t>
            </w:r>
          </w:p>
          <w:p w14:paraId="6A93BCED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2431A31E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☑ 技术可行性：Vue 3 + Spring Boot 3 + MySQL 8 均为成熟稳定的主流技术栈，团队成员在课程中已有学习基础，技术风险可控。</w:t>
            </w:r>
          </w:p>
          <w:p w14:paraId="6520CA16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7EF9D17C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 xml:space="preserve">☑ 团队胜任性：团队 </w:t>
            </w:r>
            <w:r>
              <w:rPr>
                <w:rFonts w:hint="eastAsia"/>
                <w:b w:val="0"/>
                <w:color w:val="2B2B2B"/>
                <w:sz w:val="20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人</w:t>
            </w:r>
            <w:r>
              <w:rPr>
                <w:rFonts w:hint="eastAsia"/>
                <w:b w:val="0"/>
                <w:color w:val="2B2B2B"/>
                <w:sz w:val="20"/>
                <w:lang w:val="en-US" w:eastAsia="zh-CN"/>
              </w:rPr>
              <w:t>共同</w:t>
            </w: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承担后端、前端、测试/DevOps、文档/管理角色，技能互补。如个别模块遇到技术困难，备份人及时顶上。</w:t>
            </w:r>
          </w:p>
          <w:p w14:paraId="16CEE46F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11B340F1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☑ 创新性论证：AI 推荐（基于用户偏好与猫咪性格匹配）、猫咪健康趋势图、LBS 最近门店检索等选做功能，体现了与通用餐饮系统的差异化。</w:t>
            </w:r>
          </w:p>
          <w:p w14:paraId="148A4F6F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51FEB1D9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☑ 可演示性：系统具备完整的前后端交互流程，Docker 一键启动，演示数据通过 Flyway seed 固化，答辩时可展示完整的顾客→店员→店长→总部业务闭环。</w:t>
            </w:r>
          </w:p>
          <w:p w14:paraId="1D7F1350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</w:p>
          <w:p w14:paraId="14A6B126">
            <w:pPr>
              <w:spacing w:after="40" w:line="336" w:lineRule="auto"/>
              <w:rPr>
                <w:rFonts w:ascii="微软雅黑" w:hAnsi="微软雅黑" w:eastAsia="微软雅黑"/>
                <w:b w:val="0"/>
                <w:color w:val="2B2B2B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综合自评：本项目选题真实、规模适中、技术可行、团队胜任、具备创新亮点与可演示性，满足立项要求。</w:t>
            </w:r>
          </w:p>
        </w:tc>
      </w:tr>
    </w:tbl>
    <w:p w14:paraId="09822342"/>
    <w:p w14:paraId="2A3FCF30">
      <w:pPr>
        <w:spacing w:before="200" w:after="80" w:line="336" w:lineRule="auto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 xml:space="preserve"> 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954CFA6">
        <w:trPr>
          <w:jc w:val="center"/>
        </w:trPr>
        <w:tc>
          <w:tcPr>
            <w:tcW w:w="9746" w:type="dxa"/>
            <w:tcBorders>
              <w:top w:val="single" w:color="E8A52B" w:sz="8" w:space="0"/>
              <w:left w:val="single" w:color="E8A52B" w:sz="8" w:space="0"/>
              <w:bottom w:val="single" w:color="E8A52B" w:sz="8" w:space="0"/>
              <w:right w:val="single" w:color="E8A52B" w:sz="8" w:space="0"/>
            </w:tcBorders>
            <w:shd w:val="clear" w:color="auto" w:fill="FDF4E3"/>
          </w:tcPr>
          <w:p w14:paraId="79F48FB9">
            <w:pPr>
              <w:spacing w:after="40"/>
            </w:pPr>
            <w:r>
              <w:rPr>
                <w:rFonts w:ascii="微软雅黑" w:hAnsi="微软雅黑" w:eastAsia="微软雅黑"/>
                <w:b/>
                <w:color w:val="C98B21"/>
                <w:sz w:val="21"/>
              </w:rPr>
              <w:t xml:space="preserve">✍ 备注 </w:t>
            </w:r>
          </w:p>
          <w:p w14:paraId="285A49F2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本文件须于 D1 立项答辩前上传，作为答辩材料；通过后方可正式立项。</w:t>
            </w:r>
          </w:p>
        </w:tc>
      </w:tr>
    </w:tbl>
    <w:p w14:paraId="697D809D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7E3E77"/>
    <w:rsid w:val="7BEB31EA"/>
    <w:rsid w:val="7EFF1BD9"/>
    <w:rsid w:val="7FFF2A8F"/>
    <w:rsid w:val="DFFFC24B"/>
    <w:rsid w:val="F7EBFBF0"/>
    <w:rsid w:val="FEF31ACE"/>
    <w:rsid w:val="FFFE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s1"/>
    <w:basedOn w:val="132"/>
    <w:uiPriority w:val="0"/>
  </w:style>
  <w:style w:type="paragraph" w:customStyle="1" w:styleId="16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浮绘梦</cp:lastModifiedBy>
  <dcterms:modified xsi:type="dcterms:W3CDTF">2026-06-14T07:13:05Z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4D63B311838A57370B4C2D6A01C42909_42</vt:lpwstr>
  </property>
</Properties>
</file>